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D9" w:rsidRPr="00726C39" w:rsidRDefault="007B14D9" w:rsidP="00726C39">
      <w:pPr>
        <w:spacing w:before="120" w:after="0" w:line="240" w:lineRule="auto"/>
        <w:jc w:val="both"/>
        <w:rPr>
          <w:rFonts w:cstheme="minorHAnsi"/>
        </w:rPr>
      </w:pPr>
      <w:r w:rsidRPr="00726C39">
        <w:rPr>
          <w:rFonts w:cstheme="minorHAnsi"/>
        </w:rPr>
        <w:t xml:space="preserve">Milí přátelé, </w:t>
      </w:r>
    </w:p>
    <w:p w:rsidR="007B14D9" w:rsidRDefault="003A06F6" w:rsidP="00587EA4">
      <w:pPr>
        <w:spacing w:before="360" w:after="0" w:line="240" w:lineRule="auto"/>
        <w:jc w:val="both"/>
        <w:rPr>
          <w:rFonts w:cstheme="minorHAnsi"/>
        </w:rPr>
      </w:pPr>
      <w:r w:rsidRPr="00726C39">
        <w:rPr>
          <w:rFonts w:cstheme="minorHAnsi"/>
        </w:rPr>
        <w:t>v</w:t>
      </w:r>
      <w:r w:rsidR="00374BDE" w:rsidRPr="00726C39">
        <w:rPr>
          <w:rFonts w:cstheme="minorHAnsi"/>
        </w:rPr>
        <w:t> </w:t>
      </w:r>
      <w:bookmarkStart w:id="0" w:name="_GoBack"/>
      <w:bookmarkEnd w:id="0"/>
      <w:r w:rsidRPr="00726C39">
        <w:rPr>
          <w:rFonts w:cstheme="minorHAnsi"/>
        </w:rPr>
        <w:t xml:space="preserve">příloze </w:t>
      </w:r>
      <w:r w:rsidR="00073E13">
        <w:rPr>
          <w:rFonts w:cstheme="minorHAnsi"/>
        </w:rPr>
        <w:t>„</w:t>
      </w:r>
      <w:r w:rsidR="00E673E9">
        <w:rPr>
          <w:rFonts w:cstheme="minorHAnsi"/>
        </w:rPr>
        <w:t>D</w:t>
      </w:r>
      <w:r w:rsidRPr="00726C39">
        <w:rPr>
          <w:rFonts w:cstheme="minorHAnsi"/>
        </w:rPr>
        <w:t>opisu od Klimenta</w:t>
      </w:r>
      <w:r w:rsidR="00073E13">
        <w:rPr>
          <w:rFonts w:cstheme="minorHAnsi"/>
        </w:rPr>
        <w:t>“</w:t>
      </w:r>
      <w:r w:rsidRPr="00726C39">
        <w:rPr>
          <w:rFonts w:cstheme="minorHAnsi"/>
        </w:rPr>
        <w:t xml:space="preserve"> vás </w:t>
      </w:r>
      <w:r w:rsidR="007B14D9" w:rsidRPr="00726C39">
        <w:rPr>
          <w:rFonts w:cstheme="minorHAnsi"/>
        </w:rPr>
        <w:t>chceme informovat o hospodaření našeho sboru a</w:t>
      </w:r>
      <w:r w:rsidR="00374BDE" w:rsidRPr="00726C39">
        <w:rPr>
          <w:rFonts w:cstheme="minorHAnsi"/>
        </w:rPr>
        <w:t> </w:t>
      </w:r>
      <w:r w:rsidRPr="00726C39">
        <w:rPr>
          <w:rFonts w:cstheme="minorHAnsi"/>
        </w:rPr>
        <w:t xml:space="preserve">také </w:t>
      </w:r>
      <w:r w:rsidR="007B14D9" w:rsidRPr="00726C39">
        <w:rPr>
          <w:rFonts w:cstheme="minorHAnsi"/>
        </w:rPr>
        <w:t>o</w:t>
      </w:r>
      <w:r w:rsidR="00374BDE" w:rsidRPr="00726C39">
        <w:rPr>
          <w:rFonts w:cstheme="minorHAnsi"/>
        </w:rPr>
        <w:t> </w:t>
      </w:r>
      <w:r w:rsidR="007B14D9" w:rsidRPr="00726C39">
        <w:rPr>
          <w:rFonts w:cstheme="minorHAnsi"/>
        </w:rPr>
        <w:t>financování církve v</w:t>
      </w:r>
      <w:r w:rsidR="00374BDE" w:rsidRPr="00726C39">
        <w:rPr>
          <w:rFonts w:cstheme="minorHAnsi"/>
        </w:rPr>
        <w:t> </w:t>
      </w:r>
      <w:r w:rsidR="007B14D9" w:rsidRPr="00726C39">
        <w:rPr>
          <w:rFonts w:cstheme="minorHAnsi"/>
        </w:rPr>
        <w:t>příštích letech</w:t>
      </w:r>
      <w:r w:rsidRPr="00726C39">
        <w:rPr>
          <w:rFonts w:cstheme="minorHAnsi"/>
        </w:rPr>
        <w:t>.</w:t>
      </w:r>
    </w:p>
    <w:p w:rsidR="00E673E9" w:rsidRPr="00726C39" w:rsidRDefault="00E673E9" w:rsidP="00726C39">
      <w:pPr>
        <w:spacing w:before="120" w:after="0" w:line="240" w:lineRule="auto"/>
        <w:jc w:val="both"/>
        <w:rPr>
          <w:rFonts w:cstheme="minorHAnsi"/>
        </w:rPr>
      </w:pPr>
      <w:r>
        <w:rPr>
          <w:rFonts w:cstheme="minorHAnsi"/>
        </w:rPr>
        <w:t>Celou problematiku dobře vysvětluje leták, který před zhruba dvěma lety připravil Pražský seniorát a</w:t>
      </w:r>
      <w:r w:rsidR="007074DF" w:rsidRPr="00726C39">
        <w:rPr>
          <w:rFonts w:cstheme="minorHAnsi"/>
        </w:rPr>
        <w:t> </w:t>
      </w:r>
      <w:r>
        <w:rPr>
          <w:rFonts w:cstheme="minorHAnsi"/>
        </w:rPr>
        <w:t>který k</w:t>
      </w:r>
      <w:r w:rsidR="007074DF">
        <w:rPr>
          <w:rFonts w:cstheme="minorHAnsi"/>
        </w:rPr>
        <w:t> </w:t>
      </w:r>
      <w:r>
        <w:rPr>
          <w:rFonts w:cstheme="minorHAnsi"/>
        </w:rPr>
        <w:t>dopisu</w:t>
      </w:r>
      <w:r w:rsidR="007074DF">
        <w:rPr>
          <w:rFonts w:cstheme="minorHAnsi"/>
        </w:rPr>
        <w:t xml:space="preserve"> </w:t>
      </w:r>
      <w:r>
        <w:rPr>
          <w:rFonts w:cstheme="minorHAnsi"/>
        </w:rPr>
        <w:t xml:space="preserve">přikládáme. Prosíme, přečtěte si </w:t>
      </w:r>
      <w:r w:rsidR="007074DF">
        <w:rPr>
          <w:rFonts w:cstheme="minorHAnsi"/>
        </w:rPr>
        <w:t>jej</w:t>
      </w:r>
      <w:r>
        <w:rPr>
          <w:rFonts w:cstheme="minorHAnsi"/>
        </w:rPr>
        <w:t>.</w:t>
      </w:r>
    </w:p>
    <w:p w:rsidR="00E673E9" w:rsidRDefault="00E673E9" w:rsidP="00726C39">
      <w:pPr>
        <w:spacing w:before="120" w:after="0" w:line="240" w:lineRule="auto"/>
        <w:jc w:val="both"/>
        <w:rPr>
          <w:rFonts w:cstheme="minorHAnsi"/>
        </w:rPr>
      </w:pPr>
      <w:r>
        <w:rPr>
          <w:rFonts w:cstheme="minorHAnsi"/>
        </w:rPr>
        <w:t xml:space="preserve">Doplnit ho chceme o aktuální údaje a o údaje, které se týkají klimentského sboru. </w:t>
      </w:r>
    </w:p>
    <w:p w:rsidR="007B14D9" w:rsidRPr="00726C39" w:rsidRDefault="007074DF" w:rsidP="00726C39">
      <w:pPr>
        <w:spacing w:before="120" w:after="0" w:line="240" w:lineRule="auto"/>
        <w:jc w:val="both"/>
        <w:rPr>
          <w:rFonts w:cstheme="minorHAnsi"/>
        </w:rPr>
      </w:pPr>
      <w:r>
        <w:rPr>
          <w:rFonts w:cstheme="minorHAnsi"/>
        </w:rPr>
        <w:t>Vzhledem ke</w:t>
      </w:r>
      <w:r w:rsidR="00E6258B">
        <w:rPr>
          <w:rFonts w:cstheme="minorHAnsi"/>
        </w:rPr>
        <w:t xml:space="preserve"> klesajícímu příspěvku státu na provoz církví </w:t>
      </w:r>
      <w:r>
        <w:rPr>
          <w:rFonts w:cstheme="minorHAnsi"/>
        </w:rPr>
        <w:t>stále stoupá</w:t>
      </w:r>
      <w:r>
        <w:rPr>
          <w:rFonts w:cstheme="minorHAnsi"/>
        </w:rPr>
        <w:t xml:space="preserve"> </w:t>
      </w:r>
      <w:r w:rsidR="00E6258B">
        <w:rPr>
          <w:rFonts w:cstheme="minorHAnsi"/>
        </w:rPr>
        <w:t>o</w:t>
      </w:r>
      <w:r w:rsidR="00E673E9">
        <w:rPr>
          <w:rFonts w:cstheme="minorHAnsi"/>
        </w:rPr>
        <w:t>dvod do personálního fondu. Z</w:t>
      </w:r>
      <w:r w:rsidR="007B14D9" w:rsidRPr="00726C39">
        <w:rPr>
          <w:rFonts w:cstheme="minorHAnsi"/>
        </w:rPr>
        <w:t xml:space="preserve">a </w:t>
      </w:r>
      <w:r w:rsidR="00270134" w:rsidRPr="00726C39">
        <w:rPr>
          <w:rFonts w:cstheme="minorHAnsi"/>
        </w:rPr>
        <w:t xml:space="preserve">každé </w:t>
      </w:r>
      <w:r w:rsidR="007B14D9" w:rsidRPr="00726C39">
        <w:rPr>
          <w:rFonts w:cstheme="minorHAnsi"/>
        </w:rPr>
        <w:t>obsazené farářské místo</w:t>
      </w:r>
      <w:r w:rsidR="00E673E9">
        <w:rPr>
          <w:rFonts w:cstheme="minorHAnsi"/>
        </w:rPr>
        <w:t xml:space="preserve"> se v</w:t>
      </w:r>
      <w:r>
        <w:rPr>
          <w:rFonts w:cstheme="minorHAnsi"/>
        </w:rPr>
        <w:t> </w:t>
      </w:r>
      <w:r w:rsidR="00E673E9">
        <w:rPr>
          <w:rFonts w:cstheme="minorHAnsi"/>
        </w:rPr>
        <w:t>ro</w:t>
      </w:r>
      <w:r w:rsidR="007B14D9" w:rsidRPr="00726C39">
        <w:rPr>
          <w:rFonts w:cstheme="minorHAnsi"/>
        </w:rPr>
        <w:t>ce</w:t>
      </w:r>
      <w:r>
        <w:rPr>
          <w:rFonts w:cstheme="minorHAnsi"/>
        </w:rPr>
        <w:t xml:space="preserve"> </w:t>
      </w:r>
      <w:r w:rsidR="007B14D9" w:rsidRPr="00726C39">
        <w:rPr>
          <w:rFonts w:cstheme="minorHAnsi"/>
        </w:rPr>
        <w:t xml:space="preserve">2019 </w:t>
      </w:r>
      <w:r w:rsidR="00E673E9">
        <w:rPr>
          <w:rFonts w:cstheme="minorHAnsi"/>
        </w:rPr>
        <w:t xml:space="preserve">odvádí </w:t>
      </w:r>
      <w:r w:rsidR="007B14D9" w:rsidRPr="00726C39">
        <w:rPr>
          <w:rFonts w:cstheme="minorHAnsi"/>
        </w:rPr>
        <w:t>129</w:t>
      </w:r>
      <w:r w:rsidR="00270134" w:rsidRPr="00726C39">
        <w:rPr>
          <w:rFonts w:cstheme="minorHAnsi"/>
        </w:rPr>
        <w:t> </w:t>
      </w:r>
      <w:r w:rsidR="007B14D9" w:rsidRPr="00726C39">
        <w:rPr>
          <w:rFonts w:cstheme="minorHAnsi"/>
        </w:rPr>
        <w:t>000</w:t>
      </w:r>
      <w:r w:rsidR="00270134" w:rsidRPr="00726C39">
        <w:rPr>
          <w:rFonts w:cstheme="minorHAnsi"/>
        </w:rPr>
        <w:t> </w:t>
      </w:r>
      <w:r w:rsidR="007B14D9" w:rsidRPr="00726C39">
        <w:rPr>
          <w:rFonts w:cstheme="minorHAnsi"/>
        </w:rPr>
        <w:t>Kč, v</w:t>
      </w:r>
      <w:r w:rsidR="00270134" w:rsidRPr="00726C39">
        <w:rPr>
          <w:rFonts w:cstheme="minorHAnsi"/>
        </w:rPr>
        <w:t xml:space="preserve"> dalším </w:t>
      </w:r>
      <w:r w:rsidR="007B14D9" w:rsidRPr="00726C39">
        <w:rPr>
          <w:rFonts w:cstheme="minorHAnsi"/>
        </w:rPr>
        <w:t>roce</w:t>
      </w:r>
      <w:r w:rsidR="00270134" w:rsidRPr="00726C39">
        <w:rPr>
          <w:rFonts w:cstheme="minorHAnsi"/>
        </w:rPr>
        <w:t xml:space="preserve"> </w:t>
      </w:r>
      <w:r w:rsidR="00E673E9">
        <w:rPr>
          <w:rFonts w:cstheme="minorHAnsi"/>
        </w:rPr>
        <w:t xml:space="preserve">to bude </w:t>
      </w:r>
      <w:r>
        <w:rPr>
          <w:rFonts w:cstheme="minorHAnsi"/>
        </w:rPr>
        <w:t xml:space="preserve">již </w:t>
      </w:r>
      <w:r w:rsidR="00FB2432" w:rsidRPr="00726C39">
        <w:rPr>
          <w:rFonts w:cstheme="minorHAnsi"/>
        </w:rPr>
        <w:t>1</w:t>
      </w:r>
      <w:r w:rsidR="00E6258B">
        <w:rPr>
          <w:rFonts w:cstheme="minorHAnsi"/>
        </w:rPr>
        <w:t>6</w:t>
      </w:r>
      <w:r w:rsidR="00FB2432" w:rsidRPr="00726C39">
        <w:rPr>
          <w:rFonts w:cstheme="minorHAnsi"/>
        </w:rPr>
        <w:t>0</w:t>
      </w:r>
      <w:r w:rsidR="00270134" w:rsidRPr="00726C39">
        <w:rPr>
          <w:rFonts w:cstheme="minorHAnsi"/>
        </w:rPr>
        <w:t> </w:t>
      </w:r>
      <w:r w:rsidR="00FB2432" w:rsidRPr="00726C39">
        <w:rPr>
          <w:rFonts w:cstheme="minorHAnsi"/>
        </w:rPr>
        <w:t>000</w:t>
      </w:r>
      <w:r w:rsidR="00270134" w:rsidRPr="00726C39">
        <w:rPr>
          <w:rFonts w:cstheme="minorHAnsi"/>
        </w:rPr>
        <w:t> </w:t>
      </w:r>
      <w:r w:rsidR="00FB2432" w:rsidRPr="00726C39">
        <w:rPr>
          <w:rFonts w:cstheme="minorHAnsi"/>
        </w:rPr>
        <w:t>Kč,</w:t>
      </w:r>
      <w:r w:rsidR="007B14D9" w:rsidRPr="00726C39">
        <w:rPr>
          <w:rFonts w:cstheme="minorHAnsi"/>
        </w:rPr>
        <w:t xml:space="preserve"> v</w:t>
      </w:r>
      <w:r w:rsidR="00270134" w:rsidRPr="00726C39">
        <w:rPr>
          <w:rFonts w:cstheme="minorHAnsi"/>
        </w:rPr>
        <w:t> </w:t>
      </w:r>
      <w:r w:rsidR="007B14D9" w:rsidRPr="00726C39">
        <w:rPr>
          <w:rFonts w:cstheme="minorHAnsi"/>
        </w:rPr>
        <w:t>roce</w:t>
      </w:r>
      <w:r w:rsidR="00270134" w:rsidRPr="00726C39">
        <w:rPr>
          <w:rFonts w:cstheme="minorHAnsi"/>
        </w:rPr>
        <w:t xml:space="preserve"> </w:t>
      </w:r>
      <w:r w:rsidR="007B14D9" w:rsidRPr="00726C39">
        <w:rPr>
          <w:rFonts w:cstheme="minorHAnsi"/>
        </w:rPr>
        <w:t>202</w:t>
      </w:r>
      <w:r w:rsidR="00FB2432" w:rsidRPr="00726C39">
        <w:rPr>
          <w:rFonts w:cstheme="minorHAnsi"/>
        </w:rPr>
        <w:t xml:space="preserve">5 je předpokládaná výše odvodu </w:t>
      </w:r>
      <w:r w:rsidR="00E6258B">
        <w:rPr>
          <w:rFonts w:cstheme="minorHAnsi"/>
        </w:rPr>
        <w:t>39</w:t>
      </w:r>
      <w:r w:rsidR="00FB2432" w:rsidRPr="00726C39">
        <w:rPr>
          <w:rFonts w:cstheme="minorHAnsi"/>
        </w:rPr>
        <w:t>0</w:t>
      </w:r>
      <w:r w:rsidR="00270134" w:rsidRPr="00726C39">
        <w:rPr>
          <w:rFonts w:cstheme="minorHAnsi"/>
        </w:rPr>
        <w:t> </w:t>
      </w:r>
      <w:r w:rsidR="00FB2432" w:rsidRPr="00726C39">
        <w:rPr>
          <w:rFonts w:cstheme="minorHAnsi"/>
        </w:rPr>
        <w:t>000</w:t>
      </w:r>
      <w:r w:rsidR="00270134" w:rsidRPr="00726C39">
        <w:rPr>
          <w:rFonts w:cstheme="minorHAnsi"/>
        </w:rPr>
        <w:t> </w:t>
      </w:r>
      <w:r w:rsidR="00FB2432" w:rsidRPr="00726C39">
        <w:rPr>
          <w:rFonts w:cstheme="minorHAnsi"/>
        </w:rPr>
        <w:t>Kč.</w:t>
      </w:r>
    </w:p>
    <w:p w:rsidR="00E36702" w:rsidRPr="00726C39" w:rsidRDefault="00E673E9" w:rsidP="00726C39">
      <w:pPr>
        <w:spacing w:before="120" w:after="0" w:line="240" w:lineRule="auto"/>
        <w:jc w:val="both"/>
        <w:rPr>
          <w:rFonts w:cstheme="minorHAnsi"/>
        </w:rPr>
      </w:pPr>
      <w:r>
        <w:rPr>
          <w:rFonts w:cstheme="minorHAnsi"/>
        </w:rPr>
        <w:t>Z</w:t>
      </w:r>
      <w:r w:rsidR="007074DF">
        <w:rPr>
          <w:rFonts w:cstheme="minorHAnsi"/>
        </w:rPr>
        <w:t> </w:t>
      </w:r>
      <w:r>
        <w:rPr>
          <w:rFonts w:cstheme="minorHAnsi"/>
        </w:rPr>
        <w:t>peněz</w:t>
      </w:r>
      <w:r w:rsidR="007074DF">
        <w:rPr>
          <w:rFonts w:cstheme="minorHAnsi"/>
        </w:rPr>
        <w:t xml:space="preserve"> </w:t>
      </w:r>
      <w:r>
        <w:rPr>
          <w:rFonts w:cstheme="minorHAnsi"/>
        </w:rPr>
        <w:t>na tzv</w:t>
      </w:r>
      <w:r w:rsidR="001530F9" w:rsidRPr="00726C39">
        <w:rPr>
          <w:rFonts w:cstheme="minorHAnsi"/>
        </w:rPr>
        <w:t xml:space="preserve">. </w:t>
      </w:r>
      <w:r>
        <w:rPr>
          <w:rFonts w:cstheme="minorHAnsi"/>
        </w:rPr>
        <w:t>"</w:t>
      </w:r>
      <w:r w:rsidR="001530F9" w:rsidRPr="00726C39">
        <w:rPr>
          <w:rFonts w:cstheme="minorHAnsi"/>
        </w:rPr>
        <w:t>restituční</w:t>
      </w:r>
      <w:r w:rsidR="007B14D9" w:rsidRPr="00726C39">
        <w:rPr>
          <w:rFonts w:cstheme="minorHAnsi"/>
        </w:rPr>
        <w:t xml:space="preserve"> náhrady</w:t>
      </w:r>
      <w:r>
        <w:rPr>
          <w:rFonts w:cstheme="minorHAnsi"/>
        </w:rPr>
        <w:t>"</w:t>
      </w:r>
      <w:r w:rsidR="001530F9" w:rsidRPr="00726C39">
        <w:rPr>
          <w:rFonts w:cstheme="minorHAnsi"/>
        </w:rPr>
        <w:t xml:space="preserve"> </w:t>
      </w:r>
      <w:r w:rsidR="007074DF" w:rsidRPr="00726C39">
        <w:rPr>
          <w:rFonts w:cstheme="minorHAnsi"/>
        </w:rPr>
        <w:t>podporuj</w:t>
      </w:r>
      <w:r w:rsidR="007074DF">
        <w:rPr>
          <w:rFonts w:cstheme="minorHAnsi"/>
        </w:rPr>
        <w:t>e</w:t>
      </w:r>
      <w:r w:rsidR="007074DF" w:rsidRPr="00726C39">
        <w:rPr>
          <w:rFonts w:cstheme="minorHAnsi"/>
        </w:rPr>
        <w:t xml:space="preserve"> </w:t>
      </w:r>
      <w:r w:rsidR="007074DF">
        <w:rPr>
          <w:rFonts w:cstheme="minorHAnsi"/>
        </w:rPr>
        <w:t xml:space="preserve">ČCE </w:t>
      </w:r>
      <w:r w:rsidR="007B14D9" w:rsidRPr="00726C39">
        <w:rPr>
          <w:rFonts w:cstheme="minorHAnsi"/>
        </w:rPr>
        <w:t xml:space="preserve">ve formě grantů pro </w:t>
      </w:r>
      <w:r w:rsidR="00270134" w:rsidRPr="00726C39">
        <w:rPr>
          <w:rFonts w:cstheme="minorHAnsi"/>
        </w:rPr>
        <w:t>d</w:t>
      </w:r>
      <w:r w:rsidR="00FB2432" w:rsidRPr="00726C39">
        <w:rPr>
          <w:rFonts w:cstheme="minorHAnsi"/>
        </w:rPr>
        <w:t>i</w:t>
      </w:r>
      <w:r w:rsidR="007B14D9" w:rsidRPr="00726C39">
        <w:rPr>
          <w:rFonts w:cstheme="minorHAnsi"/>
        </w:rPr>
        <w:t>akonické a rozvojové</w:t>
      </w:r>
      <w:r w:rsidR="00FB2432" w:rsidRPr="00726C39">
        <w:rPr>
          <w:rFonts w:cstheme="minorHAnsi"/>
        </w:rPr>
        <w:t xml:space="preserve"> </w:t>
      </w:r>
      <w:r w:rsidR="007B14D9" w:rsidRPr="00726C39">
        <w:rPr>
          <w:rFonts w:cstheme="minorHAnsi"/>
        </w:rPr>
        <w:t>projekty konkrétní aktivity směřující ke</w:t>
      </w:r>
      <w:r w:rsidR="00FB2432" w:rsidRPr="00726C39">
        <w:rPr>
          <w:rFonts w:cstheme="minorHAnsi"/>
        </w:rPr>
        <w:t xml:space="preserve"> </w:t>
      </w:r>
      <w:r w:rsidR="007B14D9" w:rsidRPr="00726C39">
        <w:rPr>
          <w:rFonts w:cstheme="minorHAnsi"/>
        </w:rPr>
        <w:t>službě církve a</w:t>
      </w:r>
      <w:r w:rsidR="00270134" w:rsidRPr="00726C39">
        <w:rPr>
          <w:rFonts w:cstheme="minorHAnsi"/>
        </w:rPr>
        <w:t> </w:t>
      </w:r>
      <w:r w:rsidR="00FB2432" w:rsidRPr="00726C39">
        <w:rPr>
          <w:rFonts w:cstheme="minorHAnsi"/>
        </w:rPr>
        <w:t>k</w:t>
      </w:r>
      <w:r w:rsidR="00270134" w:rsidRPr="00726C39">
        <w:rPr>
          <w:rFonts w:cstheme="minorHAnsi"/>
        </w:rPr>
        <w:t> </w:t>
      </w:r>
      <w:r w:rsidR="00FB2432" w:rsidRPr="00726C39">
        <w:rPr>
          <w:rFonts w:cstheme="minorHAnsi"/>
        </w:rPr>
        <w:t>rozvoji sborů</w:t>
      </w:r>
      <w:r>
        <w:rPr>
          <w:rFonts w:cstheme="minorHAnsi"/>
        </w:rPr>
        <w:t>. Náš</w:t>
      </w:r>
      <w:r w:rsidR="007B14D9" w:rsidRPr="00726C39">
        <w:rPr>
          <w:rFonts w:cstheme="minorHAnsi"/>
        </w:rPr>
        <w:t xml:space="preserve"> sbor z</w:t>
      </w:r>
      <w:r w:rsidR="00270134" w:rsidRPr="00726C39">
        <w:rPr>
          <w:rFonts w:cstheme="minorHAnsi"/>
        </w:rPr>
        <w:t> </w:t>
      </w:r>
      <w:r w:rsidR="007B14D9" w:rsidRPr="00726C39">
        <w:rPr>
          <w:rFonts w:cstheme="minorHAnsi"/>
        </w:rPr>
        <w:t>těchto p</w:t>
      </w:r>
      <w:r w:rsidR="00FB2432" w:rsidRPr="00726C39">
        <w:rPr>
          <w:rFonts w:cstheme="minorHAnsi"/>
        </w:rPr>
        <w:t>e</w:t>
      </w:r>
      <w:r w:rsidR="007B14D9" w:rsidRPr="00726C39">
        <w:rPr>
          <w:rFonts w:cstheme="minorHAnsi"/>
        </w:rPr>
        <w:t>n</w:t>
      </w:r>
      <w:r w:rsidR="00FB2432" w:rsidRPr="00726C39">
        <w:rPr>
          <w:rFonts w:cstheme="minorHAnsi"/>
        </w:rPr>
        <w:t>ěz letos dostane 60</w:t>
      </w:r>
      <w:r w:rsidR="00270134" w:rsidRPr="00726C39">
        <w:rPr>
          <w:rFonts w:cstheme="minorHAnsi"/>
        </w:rPr>
        <w:t> </w:t>
      </w:r>
      <w:r w:rsidR="00FB2432" w:rsidRPr="00726C39">
        <w:rPr>
          <w:rFonts w:cstheme="minorHAnsi"/>
        </w:rPr>
        <w:t>000</w:t>
      </w:r>
      <w:r w:rsidR="00270134" w:rsidRPr="00726C39">
        <w:rPr>
          <w:rFonts w:cstheme="minorHAnsi"/>
        </w:rPr>
        <w:t> </w:t>
      </w:r>
      <w:r w:rsidR="00FB2432" w:rsidRPr="00726C39">
        <w:rPr>
          <w:rFonts w:cstheme="minorHAnsi"/>
        </w:rPr>
        <w:t>Kč na vybavení letního tábora a</w:t>
      </w:r>
      <w:r w:rsidR="00270134" w:rsidRPr="00726C39">
        <w:rPr>
          <w:rFonts w:cstheme="minorHAnsi"/>
        </w:rPr>
        <w:t> </w:t>
      </w:r>
      <w:r w:rsidR="00FB2432" w:rsidRPr="00726C39">
        <w:rPr>
          <w:rFonts w:cstheme="minorHAnsi"/>
        </w:rPr>
        <w:t>300</w:t>
      </w:r>
      <w:r w:rsidR="00270134" w:rsidRPr="00726C39">
        <w:rPr>
          <w:rFonts w:cstheme="minorHAnsi"/>
        </w:rPr>
        <w:t> </w:t>
      </w:r>
      <w:r w:rsidR="00FB2432" w:rsidRPr="00726C39">
        <w:rPr>
          <w:rFonts w:cstheme="minorHAnsi"/>
        </w:rPr>
        <w:t>000</w:t>
      </w:r>
      <w:r w:rsidR="00E6258B">
        <w:rPr>
          <w:rFonts w:cstheme="minorHAnsi"/>
        </w:rPr>
        <w:t xml:space="preserve"> </w:t>
      </w:r>
      <w:r w:rsidR="00FB2432" w:rsidRPr="00726C39">
        <w:rPr>
          <w:rFonts w:cstheme="minorHAnsi"/>
        </w:rPr>
        <w:t xml:space="preserve">Kč na vybudování </w:t>
      </w:r>
      <w:r w:rsidR="007074DF">
        <w:rPr>
          <w:rFonts w:cstheme="minorHAnsi"/>
        </w:rPr>
        <w:t>zázemí</w:t>
      </w:r>
      <w:r w:rsidR="00FB2432" w:rsidRPr="00726C39">
        <w:rPr>
          <w:rFonts w:cstheme="minorHAnsi"/>
        </w:rPr>
        <w:t xml:space="preserve"> pro nedělní školu v</w:t>
      </w:r>
      <w:r w:rsidR="00270134" w:rsidRPr="00726C39">
        <w:rPr>
          <w:rFonts w:cstheme="minorHAnsi"/>
        </w:rPr>
        <w:t> </w:t>
      </w:r>
      <w:r w:rsidR="00FB2432" w:rsidRPr="00726C39">
        <w:rPr>
          <w:rFonts w:cstheme="minorHAnsi"/>
        </w:rPr>
        <w:t>půdních prostorách sborového domu</w:t>
      </w:r>
      <w:r w:rsidR="001530F9" w:rsidRPr="00726C39">
        <w:rPr>
          <w:rFonts w:cstheme="minorHAnsi"/>
        </w:rPr>
        <w:t>.</w:t>
      </w:r>
    </w:p>
    <w:p w:rsidR="00E36702" w:rsidRPr="00726C39" w:rsidRDefault="00E36702" w:rsidP="00726C39">
      <w:pPr>
        <w:spacing w:before="120" w:after="0" w:line="240" w:lineRule="auto"/>
        <w:jc w:val="both"/>
        <w:rPr>
          <w:rFonts w:cstheme="minorHAnsi"/>
        </w:rPr>
      </w:pPr>
      <w:r w:rsidRPr="00726C39">
        <w:rPr>
          <w:rFonts w:cstheme="minorHAnsi"/>
        </w:rPr>
        <w:t>Také ústředí</w:t>
      </w:r>
      <w:r w:rsidR="002C35E7" w:rsidRPr="00726C39">
        <w:rPr>
          <w:rFonts w:cstheme="minorHAnsi"/>
        </w:rPr>
        <w:t xml:space="preserve"> </w:t>
      </w:r>
      <w:r w:rsidRPr="00726C39">
        <w:rPr>
          <w:rFonts w:cstheme="minorHAnsi"/>
        </w:rPr>
        <w:t xml:space="preserve">církve </w:t>
      </w:r>
      <w:r w:rsidR="002C35E7" w:rsidRPr="00726C39">
        <w:rPr>
          <w:rFonts w:cstheme="minorHAnsi"/>
        </w:rPr>
        <w:t>intenzivně řeší</w:t>
      </w:r>
      <w:r w:rsidRPr="00726C39">
        <w:rPr>
          <w:rFonts w:cstheme="minorHAnsi"/>
        </w:rPr>
        <w:t xml:space="preserve"> financování</w:t>
      </w:r>
      <w:r w:rsidR="002C35E7" w:rsidRPr="00726C39">
        <w:rPr>
          <w:rFonts w:cstheme="minorHAnsi"/>
        </w:rPr>
        <w:t xml:space="preserve"> činnosti</w:t>
      </w:r>
      <w:r w:rsidR="00695602" w:rsidRPr="00726C39">
        <w:rPr>
          <w:rFonts w:cstheme="minorHAnsi"/>
        </w:rPr>
        <w:t xml:space="preserve">. </w:t>
      </w:r>
      <w:r w:rsidR="002C35E7" w:rsidRPr="00726C39">
        <w:rPr>
          <w:rFonts w:cstheme="minorHAnsi"/>
        </w:rPr>
        <w:t>Není</w:t>
      </w:r>
      <w:r w:rsidR="00695602" w:rsidRPr="00726C39">
        <w:rPr>
          <w:rFonts w:cstheme="minorHAnsi"/>
        </w:rPr>
        <w:t xml:space="preserve"> možné ani vhodné spoléhat </w:t>
      </w:r>
      <w:r w:rsidR="002C35E7" w:rsidRPr="00726C39">
        <w:rPr>
          <w:rFonts w:cstheme="minorHAnsi"/>
        </w:rPr>
        <w:t xml:space="preserve">se </w:t>
      </w:r>
      <w:r w:rsidR="00695602" w:rsidRPr="00726C39">
        <w:rPr>
          <w:rFonts w:cstheme="minorHAnsi"/>
        </w:rPr>
        <w:t xml:space="preserve">na podporu ze zahraničí, naopak </w:t>
      </w:r>
      <w:r w:rsidR="002C35E7" w:rsidRPr="00726C39">
        <w:rPr>
          <w:rFonts w:cstheme="minorHAnsi"/>
        </w:rPr>
        <w:t>bychom rádi</w:t>
      </w:r>
      <w:r w:rsidR="00695602" w:rsidRPr="00726C39">
        <w:rPr>
          <w:rFonts w:cstheme="minorHAnsi"/>
        </w:rPr>
        <w:t xml:space="preserve"> podpo</w:t>
      </w:r>
      <w:r w:rsidR="002C35E7" w:rsidRPr="00726C39">
        <w:rPr>
          <w:rFonts w:cstheme="minorHAnsi"/>
        </w:rPr>
        <w:t>řili</w:t>
      </w:r>
      <w:r w:rsidR="00695602" w:rsidRPr="00726C39">
        <w:rPr>
          <w:rFonts w:cstheme="minorHAnsi"/>
        </w:rPr>
        <w:t xml:space="preserve"> církve, které jsou </w:t>
      </w:r>
      <w:r w:rsidR="002C35E7" w:rsidRPr="00726C39">
        <w:rPr>
          <w:rFonts w:cstheme="minorHAnsi"/>
        </w:rPr>
        <w:t>na tom hospodářsky daleko hůře</w:t>
      </w:r>
      <w:r w:rsidR="007074DF">
        <w:rPr>
          <w:rFonts w:cstheme="minorHAnsi"/>
        </w:rPr>
        <w:t xml:space="preserve"> než my</w:t>
      </w:r>
      <w:r w:rsidR="002C35E7" w:rsidRPr="00726C39">
        <w:rPr>
          <w:rFonts w:cstheme="minorHAnsi"/>
        </w:rPr>
        <w:t xml:space="preserve">. </w:t>
      </w:r>
      <w:r w:rsidR="007074DF">
        <w:rPr>
          <w:rFonts w:cstheme="minorHAnsi"/>
        </w:rPr>
        <w:t>I</w:t>
      </w:r>
      <w:r w:rsidR="007074DF" w:rsidRPr="00726C39">
        <w:rPr>
          <w:rFonts w:cstheme="minorHAnsi"/>
        </w:rPr>
        <w:t> </w:t>
      </w:r>
      <w:r w:rsidR="00FF1EF0" w:rsidRPr="00726C39">
        <w:rPr>
          <w:rFonts w:cstheme="minorHAnsi"/>
        </w:rPr>
        <w:t>proto se v</w:t>
      </w:r>
      <w:r w:rsidR="002C35E7" w:rsidRPr="00726C39">
        <w:rPr>
          <w:rFonts w:cstheme="minorHAnsi"/>
        </w:rPr>
        <w:t> </w:t>
      </w:r>
      <w:r w:rsidRPr="00726C39">
        <w:rPr>
          <w:rFonts w:cstheme="minorHAnsi"/>
        </w:rPr>
        <w:t>roce</w:t>
      </w:r>
      <w:r w:rsidR="002C35E7" w:rsidRPr="00726C39">
        <w:rPr>
          <w:rFonts w:cstheme="minorHAnsi"/>
        </w:rPr>
        <w:t xml:space="preserve"> </w:t>
      </w:r>
      <w:r w:rsidRPr="00726C39">
        <w:rPr>
          <w:rFonts w:cstheme="minorHAnsi"/>
        </w:rPr>
        <w:t xml:space="preserve">2019 </w:t>
      </w:r>
      <w:r w:rsidR="00695602" w:rsidRPr="00726C39">
        <w:rPr>
          <w:rFonts w:cstheme="minorHAnsi"/>
        </w:rPr>
        <w:t>zvýšily celocírkevní repartice o</w:t>
      </w:r>
      <w:r w:rsidR="002C35E7" w:rsidRPr="00726C39">
        <w:rPr>
          <w:rFonts w:cstheme="minorHAnsi"/>
        </w:rPr>
        <w:t> 25 </w:t>
      </w:r>
      <w:r w:rsidR="00695602" w:rsidRPr="00726C39">
        <w:rPr>
          <w:rFonts w:cstheme="minorHAnsi"/>
        </w:rPr>
        <w:t xml:space="preserve">% </w:t>
      </w:r>
      <w:r w:rsidRPr="00726C39">
        <w:rPr>
          <w:rFonts w:cstheme="minorHAnsi"/>
        </w:rPr>
        <w:t>a synod</w:t>
      </w:r>
      <w:r w:rsidR="00FF1EF0" w:rsidRPr="00726C39">
        <w:rPr>
          <w:rFonts w:cstheme="minorHAnsi"/>
        </w:rPr>
        <w:t xml:space="preserve"> </w:t>
      </w:r>
      <w:r w:rsidR="00BA0088" w:rsidRPr="00726C39">
        <w:rPr>
          <w:rFonts w:cstheme="minorHAnsi"/>
        </w:rPr>
        <w:t xml:space="preserve">se </w:t>
      </w:r>
      <w:r w:rsidRPr="00726C39">
        <w:rPr>
          <w:rFonts w:cstheme="minorHAnsi"/>
        </w:rPr>
        <w:t>usnesl,</w:t>
      </w:r>
      <w:r w:rsidR="00695602" w:rsidRPr="00726C39">
        <w:rPr>
          <w:rFonts w:cstheme="minorHAnsi"/>
        </w:rPr>
        <w:t xml:space="preserve"> </w:t>
      </w:r>
      <w:r w:rsidRPr="00726C39">
        <w:rPr>
          <w:rFonts w:cstheme="minorHAnsi"/>
        </w:rPr>
        <w:t>že</w:t>
      </w:r>
      <w:r w:rsidR="00695602" w:rsidRPr="00726C39">
        <w:rPr>
          <w:rFonts w:cstheme="minorHAnsi"/>
        </w:rPr>
        <w:t xml:space="preserve"> </w:t>
      </w:r>
      <w:r w:rsidRPr="00726C39">
        <w:rPr>
          <w:rFonts w:cstheme="minorHAnsi"/>
        </w:rPr>
        <w:t>se</w:t>
      </w:r>
      <w:r w:rsidR="00695602" w:rsidRPr="00726C39">
        <w:rPr>
          <w:rFonts w:cstheme="minorHAnsi"/>
        </w:rPr>
        <w:t xml:space="preserve"> </w:t>
      </w:r>
      <w:r w:rsidRPr="00726C39">
        <w:rPr>
          <w:rFonts w:cstheme="minorHAnsi"/>
        </w:rPr>
        <w:t>budou zvyšovat i</w:t>
      </w:r>
      <w:r w:rsidR="00BA0088" w:rsidRPr="00726C39">
        <w:rPr>
          <w:rFonts w:cstheme="minorHAnsi"/>
        </w:rPr>
        <w:t> </w:t>
      </w:r>
      <w:r w:rsidRPr="00726C39">
        <w:rPr>
          <w:rFonts w:cstheme="minorHAnsi"/>
        </w:rPr>
        <w:t>nadále.</w:t>
      </w:r>
    </w:p>
    <w:p w:rsidR="00FF1EF0" w:rsidRPr="00567C24" w:rsidRDefault="007074DF" w:rsidP="00726C39">
      <w:pPr>
        <w:spacing w:before="120" w:after="0" w:line="240" w:lineRule="auto"/>
        <w:jc w:val="both"/>
        <w:rPr>
          <w:rFonts w:cstheme="minorHAnsi"/>
          <w:u w:val="single"/>
        </w:rPr>
      </w:pPr>
      <w:r>
        <w:rPr>
          <w:rFonts w:cstheme="minorHAnsi"/>
          <w:u w:val="single"/>
        </w:rPr>
        <w:t>Pro ilustraci:</w:t>
      </w:r>
      <w:r w:rsidR="00E36702" w:rsidRPr="00567C24">
        <w:rPr>
          <w:rFonts w:cstheme="minorHAnsi"/>
          <w:u w:val="single"/>
        </w:rPr>
        <w:t xml:space="preserve"> odvody</w:t>
      </w:r>
      <w:r w:rsidR="00374BDE" w:rsidRPr="00567C24">
        <w:rPr>
          <w:rFonts w:cstheme="minorHAnsi"/>
          <w:u w:val="single"/>
        </w:rPr>
        <w:t xml:space="preserve"> </w:t>
      </w:r>
      <w:r w:rsidR="00E36702" w:rsidRPr="00567C24">
        <w:rPr>
          <w:rFonts w:cstheme="minorHAnsi"/>
          <w:u w:val="single"/>
        </w:rPr>
        <w:t>klimentského sboru</w:t>
      </w:r>
      <w:r w:rsidR="00FF1EF0" w:rsidRPr="00567C24">
        <w:rPr>
          <w:rFonts w:cstheme="minorHAnsi"/>
          <w:u w:val="single"/>
        </w:rPr>
        <w:t xml:space="preserve"> celkově</w:t>
      </w:r>
      <w:r w:rsidR="00E673E9">
        <w:rPr>
          <w:rFonts w:cstheme="minorHAnsi"/>
          <w:u w:val="single"/>
        </w:rPr>
        <w:t xml:space="preserve"> (</w:t>
      </w:r>
      <w:r>
        <w:rPr>
          <w:rFonts w:cstheme="minorHAnsi"/>
          <w:u w:val="single"/>
        </w:rPr>
        <w:t>p</w:t>
      </w:r>
      <w:r w:rsidR="00E673E9">
        <w:rPr>
          <w:rFonts w:cstheme="minorHAnsi"/>
          <w:u w:val="single"/>
        </w:rPr>
        <w:t>ersonální fond + repartice)</w:t>
      </w:r>
      <w:r w:rsidR="00BA0088" w:rsidRPr="00567C24">
        <w:rPr>
          <w:rFonts w:cstheme="minorHAnsi"/>
          <w:u w:val="single"/>
        </w:rPr>
        <w:t>:</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tblGrid>
      <w:tr w:rsidR="00726C39" w:rsidRPr="00726C39" w:rsidTr="00BA0088">
        <w:tc>
          <w:tcPr>
            <w:tcW w:w="3240" w:type="dxa"/>
          </w:tcPr>
          <w:p w:rsidR="00BA0088" w:rsidRPr="00726C39" w:rsidRDefault="00BA0088" w:rsidP="00726C39">
            <w:pPr>
              <w:pStyle w:val="ListParagraph"/>
              <w:numPr>
                <w:ilvl w:val="0"/>
                <w:numId w:val="4"/>
              </w:numPr>
              <w:spacing w:before="120"/>
              <w:ind w:left="252" w:hanging="252"/>
              <w:contextualSpacing w:val="0"/>
              <w:jc w:val="both"/>
              <w:rPr>
                <w:rFonts w:cstheme="minorHAnsi"/>
              </w:rPr>
            </w:pPr>
            <w:r w:rsidRPr="00726C39">
              <w:rPr>
                <w:rFonts w:cstheme="minorHAnsi"/>
              </w:rPr>
              <w:t>byly v roce 2015</w:t>
            </w:r>
          </w:p>
        </w:tc>
        <w:tc>
          <w:tcPr>
            <w:tcW w:w="1440" w:type="dxa"/>
          </w:tcPr>
          <w:p w:rsidR="00BA0088" w:rsidRPr="00726C39" w:rsidRDefault="00BA0088" w:rsidP="00726C39">
            <w:pPr>
              <w:spacing w:before="120"/>
              <w:jc w:val="right"/>
              <w:rPr>
                <w:rFonts w:cstheme="minorHAnsi"/>
              </w:rPr>
            </w:pPr>
            <w:r w:rsidRPr="00726C39">
              <w:rPr>
                <w:rFonts w:cstheme="minorHAnsi"/>
              </w:rPr>
              <w:t>133 000 Kč</w:t>
            </w:r>
          </w:p>
        </w:tc>
      </w:tr>
      <w:tr w:rsidR="00726C39" w:rsidRPr="00726C39" w:rsidTr="00BA0088">
        <w:tc>
          <w:tcPr>
            <w:tcW w:w="3240" w:type="dxa"/>
          </w:tcPr>
          <w:p w:rsidR="00BA0088" w:rsidRPr="00726C39" w:rsidRDefault="00BA0088" w:rsidP="00726C39">
            <w:pPr>
              <w:pStyle w:val="ListParagraph"/>
              <w:numPr>
                <w:ilvl w:val="0"/>
                <w:numId w:val="4"/>
              </w:numPr>
              <w:ind w:left="252" w:hanging="252"/>
              <w:contextualSpacing w:val="0"/>
              <w:jc w:val="both"/>
              <w:rPr>
                <w:rFonts w:cstheme="minorHAnsi"/>
              </w:rPr>
            </w:pPr>
            <w:r w:rsidRPr="00726C39">
              <w:rPr>
                <w:rFonts w:cstheme="minorHAnsi"/>
              </w:rPr>
              <w:t>v roce 2020 budou</w:t>
            </w:r>
          </w:p>
        </w:tc>
        <w:tc>
          <w:tcPr>
            <w:tcW w:w="1440" w:type="dxa"/>
          </w:tcPr>
          <w:p w:rsidR="00BA0088" w:rsidRPr="00726C39" w:rsidRDefault="00BA0088" w:rsidP="00E6258B">
            <w:pPr>
              <w:jc w:val="right"/>
              <w:rPr>
                <w:rFonts w:cstheme="minorHAnsi"/>
              </w:rPr>
            </w:pPr>
            <w:r w:rsidRPr="00726C39">
              <w:rPr>
                <w:rFonts w:cstheme="minorHAnsi"/>
              </w:rPr>
              <w:t>2</w:t>
            </w:r>
            <w:r w:rsidR="00E6258B">
              <w:rPr>
                <w:rFonts w:cstheme="minorHAnsi"/>
              </w:rPr>
              <w:t>4</w:t>
            </w:r>
            <w:r w:rsidRPr="00726C39">
              <w:rPr>
                <w:rFonts w:cstheme="minorHAnsi"/>
              </w:rPr>
              <w:t>4 000 Kč</w:t>
            </w:r>
          </w:p>
        </w:tc>
      </w:tr>
      <w:tr w:rsidR="00726C39" w:rsidRPr="00726C39" w:rsidTr="00BA0088">
        <w:tc>
          <w:tcPr>
            <w:tcW w:w="3240" w:type="dxa"/>
          </w:tcPr>
          <w:p w:rsidR="00BA0088" w:rsidRPr="00726C39" w:rsidRDefault="00BA0088" w:rsidP="00726C39">
            <w:pPr>
              <w:pStyle w:val="ListParagraph"/>
              <w:numPr>
                <w:ilvl w:val="0"/>
                <w:numId w:val="4"/>
              </w:numPr>
              <w:ind w:left="252" w:hanging="252"/>
              <w:contextualSpacing w:val="0"/>
              <w:jc w:val="both"/>
              <w:rPr>
                <w:rFonts w:cstheme="minorHAnsi"/>
              </w:rPr>
            </w:pPr>
            <w:r w:rsidRPr="00726C39">
              <w:rPr>
                <w:rFonts w:cstheme="minorHAnsi"/>
              </w:rPr>
              <w:t>v roce 2025 budou nejméně</w:t>
            </w:r>
          </w:p>
        </w:tc>
        <w:tc>
          <w:tcPr>
            <w:tcW w:w="1440" w:type="dxa"/>
          </w:tcPr>
          <w:p w:rsidR="00BA0088" w:rsidRPr="00726C39" w:rsidRDefault="00E6258B" w:rsidP="00E6258B">
            <w:pPr>
              <w:jc w:val="right"/>
              <w:rPr>
                <w:rFonts w:cstheme="minorHAnsi"/>
              </w:rPr>
            </w:pPr>
            <w:r>
              <w:rPr>
                <w:rFonts w:cstheme="minorHAnsi"/>
              </w:rPr>
              <w:t>458</w:t>
            </w:r>
            <w:r w:rsidR="00BA0088" w:rsidRPr="00726C39">
              <w:rPr>
                <w:rFonts w:cstheme="minorHAnsi"/>
              </w:rPr>
              <w:t xml:space="preserve"> 000 Kč</w:t>
            </w:r>
          </w:p>
        </w:tc>
      </w:tr>
    </w:tbl>
    <w:p w:rsidR="003A06F6" w:rsidRPr="00726C39" w:rsidRDefault="00E36702" w:rsidP="00726C39">
      <w:pPr>
        <w:spacing w:before="120" w:after="0" w:line="240" w:lineRule="auto"/>
        <w:jc w:val="both"/>
        <w:rPr>
          <w:rFonts w:cstheme="minorHAnsi"/>
        </w:rPr>
      </w:pPr>
      <w:r w:rsidRPr="00726C39">
        <w:rPr>
          <w:rFonts w:cstheme="minorHAnsi"/>
        </w:rPr>
        <w:t>V</w:t>
      </w:r>
      <w:r w:rsidR="00374BDE" w:rsidRPr="00726C39">
        <w:rPr>
          <w:rFonts w:cstheme="minorHAnsi"/>
        </w:rPr>
        <w:t> </w:t>
      </w:r>
      <w:r w:rsidRPr="00726C39">
        <w:rPr>
          <w:rFonts w:cstheme="minorHAnsi"/>
        </w:rPr>
        <w:t>přemýšlení</w:t>
      </w:r>
      <w:r w:rsidR="00374BDE" w:rsidRPr="00726C39">
        <w:rPr>
          <w:rFonts w:cstheme="minorHAnsi"/>
        </w:rPr>
        <w:t xml:space="preserve"> </w:t>
      </w:r>
      <w:r w:rsidRPr="00726C39">
        <w:rPr>
          <w:rFonts w:cstheme="minorHAnsi"/>
        </w:rPr>
        <w:t>o</w:t>
      </w:r>
      <w:r w:rsidR="00BA0088" w:rsidRPr="00726C39">
        <w:rPr>
          <w:rFonts w:cstheme="minorHAnsi"/>
        </w:rPr>
        <w:t> </w:t>
      </w:r>
      <w:r w:rsidRPr="00726C39">
        <w:rPr>
          <w:rFonts w:cstheme="minorHAnsi"/>
        </w:rPr>
        <w:t>budoucím f</w:t>
      </w:r>
      <w:r w:rsidR="003A06F6" w:rsidRPr="00726C39">
        <w:rPr>
          <w:rFonts w:cstheme="minorHAnsi"/>
        </w:rPr>
        <w:t xml:space="preserve">inancování církve hraje stále </w:t>
      </w:r>
      <w:r w:rsidR="002B1174">
        <w:rPr>
          <w:rFonts w:cstheme="minorHAnsi"/>
        </w:rPr>
        <w:t xml:space="preserve">větší </w:t>
      </w:r>
      <w:r w:rsidR="003A06F6" w:rsidRPr="00726C39">
        <w:rPr>
          <w:rFonts w:cstheme="minorHAnsi"/>
        </w:rPr>
        <w:t>roli solidarit</w:t>
      </w:r>
      <w:r w:rsidR="00695602" w:rsidRPr="00726C39">
        <w:rPr>
          <w:rFonts w:cstheme="minorHAnsi"/>
        </w:rPr>
        <w:t>a</w:t>
      </w:r>
      <w:r w:rsidR="003A06F6" w:rsidRPr="00726C39">
        <w:rPr>
          <w:rFonts w:cstheme="minorHAnsi"/>
        </w:rPr>
        <w:t>.</w:t>
      </w:r>
      <w:r w:rsidR="00FF1EF0" w:rsidRPr="00726C39">
        <w:rPr>
          <w:rFonts w:cstheme="minorHAnsi"/>
        </w:rPr>
        <w:t xml:space="preserve"> </w:t>
      </w:r>
      <w:r w:rsidR="00695602" w:rsidRPr="00726C39">
        <w:rPr>
          <w:rFonts w:cstheme="minorHAnsi"/>
        </w:rPr>
        <w:t>P</w:t>
      </w:r>
      <w:r w:rsidR="003A06F6" w:rsidRPr="00726C39">
        <w:rPr>
          <w:rFonts w:cstheme="minorHAnsi"/>
        </w:rPr>
        <w:t>očítá se s</w:t>
      </w:r>
      <w:r w:rsidR="00BA0088" w:rsidRPr="00726C39">
        <w:rPr>
          <w:rFonts w:cstheme="minorHAnsi"/>
        </w:rPr>
        <w:t> </w:t>
      </w:r>
      <w:r w:rsidR="003A06F6" w:rsidRPr="00726C39">
        <w:rPr>
          <w:rFonts w:cstheme="minorHAnsi"/>
        </w:rPr>
        <w:t>tím, že do společné pokladny pro financování farářských platů i</w:t>
      </w:r>
      <w:r w:rsidR="00BA0088" w:rsidRPr="00726C39">
        <w:rPr>
          <w:rFonts w:cstheme="minorHAnsi"/>
        </w:rPr>
        <w:t> </w:t>
      </w:r>
      <w:r w:rsidR="003A06F6" w:rsidRPr="00726C39">
        <w:rPr>
          <w:rFonts w:cstheme="minorHAnsi"/>
        </w:rPr>
        <w:t>činnosti ústředí budou více přispívat sbory z</w:t>
      </w:r>
      <w:r w:rsidR="00374BDE" w:rsidRPr="00726C39">
        <w:rPr>
          <w:rFonts w:cstheme="minorHAnsi"/>
        </w:rPr>
        <w:t> </w:t>
      </w:r>
      <w:r w:rsidR="003A06F6" w:rsidRPr="00726C39">
        <w:rPr>
          <w:rFonts w:cstheme="minorHAnsi"/>
        </w:rPr>
        <w:t>oblastí, kde jsou vyšší příjmy a nižší nezaměstnanost</w:t>
      </w:r>
      <w:r w:rsidR="00BA0088" w:rsidRPr="00726C39">
        <w:rPr>
          <w:rFonts w:cstheme="minorHAnsi"/>
        </w:rPr>
        <w:t>,</w:t>
      </w:r>
      <w:r w:rsidR="003A06F6" w:rsidRPr="00726C39">
        <w:rPr>
          <w:rFonts w:cstheme="minorHAnsi"/>
        </w:rPr>
        <w:t xml:space="preserve"> a</w:t>
      </w:r>
      <w:r w:rsidR="00BA0088" w:rsidRPr="00726C39">
        <w:rPr>
          <w:rFonts w:cstheme="minorHAnsi"/>
        </w:rPr>
        <w:t> </w:t>
      </w:r>
      <w:r w:rsidR="003A06F6" w:rsidRPr="00726C39">
        <w:rPr>
          <w:rFonts w:cstheme="minorHAnsi"/>
        </w:rPr>
        <w:t>sbory s</w:t>
      </w:r>
      <w:r w:rsidR="00BA0088" w:rsidRPr="00726C39">
        <w:rPr>
          <w:rFonts w:cstheme="minorHAnsi"/>
        </w:rPr>
        <w:t> </w:t>
      </w:r>
      <w:r w:rsidR="003A06F6" w:rsidRPr="00726C39">
        <w:rPr>
          <w:rFonts w:cstheme="minorHAnsi"/>
        </w:rPr>
        <w:t xml:space="preserve">nemovitostmi, které je možno pronajímat. </w:t>
      </w:r>
      <w:r w:rsidR="00BA0088" w:rsidRPr="00726C39">
        <w:rPr>
          <w:rFonts w:cstheme="minorHAnsi"/>
        </w:rPr>
        <w:t>V</w:t>
      </w:r>
      <w:r w:rsidR="00FF1EF0" w:rsidRPr="00726C39">
        <w:rPr>
          <w:rFonts w:cstheme="minorHAnsi"/>
        </w:rPr>
        <w:t xml:space="preserve">yšší příspěvky se </w:t>
      </w:r>
      <w:r w:rsidR="003A06F6" w:rsidRPr="00726C39">
        <w:rPr>
          <w:rFonts w:cstheme="minorHAnsi"/>
        </w:rPr>
        <w:t>očekáv</w:t>
      </w:r>
      <w:r w:rsidR="00FF1EF0" w:rsidRPr="00726C39">
        <w:rPr>
          <w:rFonts w:cstheme="minorHAnsi"/>
        </w:rPr>
        <w:t>ají</w:t>
      </w:r>
      <w:r w:rsidR="003A06F6" w:rsidRPr="00726C39">
        <w:rPr>
          <w:rFonts w:cstheme="minorHAnsi"/>
        </w:rPr>
        <w:t xml:space="preserve"> i</w:t>
      </w:r>
      <w:r w:rsidR="00BA0088" w:rsidRPr="00726C39">
        <w:rPr>
          <w:rFonts w:cstheme="minorHAnsi"/>
        </w:rPr>
        <w:t> </w:t>
      </w:r>
      <w:r w:rsidR="003A06F6" w:rsidRPr="00726C39">
        <w:rPr>
          <w:rFonts w:cstheme="minorHAnsi"/>
        </w:rPr>
        <w:t xml:space="preserve">od sboru klimentského. </w:t>
      </w:r>
    </w:p>
    <w:p w:rsidR="00FF2E82" w:rsidRPr="00726C39" w:rsidRDefault="00BF4EBE" w:rsidP="00726C39">
      <w:pPr>
        <w:spacing w:before="120" w:after="0" w:line="240" w:lineRule="auto"/>
        <w:jc w:val="both"/>
        <w:rPr>
          <w:rFonts w:cstheme="minorHAnsi"/>
        </w:rPr>
      </w:pPr>
      <w:r w:rsidRPr="00726C39">
        <w:rPr>
          <w:rFonts w:cstheme="minorHAnsi"/>
        </w:rPr>
        <w:t>S cílem udržet</w:t>
      </w:r>
      <w:r w:rsidR="00FF2E82" w:rsidRPr="00726C39">
        <w:rPr>
          <w:rFonts w:cstheme="minorHAnsi"/>
        </w:rPr>
        <w:t xml:space="preserve"> zdrav</w:t>
      </w:r>
      <w:r w:rsidRPr="00726C39">
        <w:rPr>
          <w:rFonts w:cstheme="minorHAnsi"/>
        </w:rPr>
        <w:t>é a udržitelné</w:t>
      </w:r>
      <w:r w:rsidR="00FF2E82" w:rsidRPr="00726C39">
        <w:rPr>
          <w:rFonts w:cstheme="minorHAnsi"/>
        </w:rPr>
        <w:t xml:space="preserve"> financování </w:t>
      </w:r>
      <w:r w:rsidRPr="00726C39">
        <w:rPr>
          <w:rFonts w:cstheme="minorHAnsi"/>
        </w:rPr>
        <w:t xml:space="preserve">se </w:t>
      </w:r>
      <w:r w:rsidR="00FF2E82" w:rsidRPr="00726C39">
        <w:rPr>
          <w:rFonts w:cstheme="minorHAnsi"/>
        </w:rPr>
        <w:t xml:space="preserve">uvažuje </w:t>
      </w:r>
      <w:r w:rsidR="00BA0088" w:rsidRPr="00726C39">
        <w:rPr>
          <w:rFonts w:cstheme="minorHAnsi"/>
        </w:rPr>
        <w:t>takto</w:t>
      </w:r>
      <w:r w:rsidR="00FF2E82" w:rsidRPr="00726C39">
        <w:rPr>
          <w:rFonts w:cstheme="minorHAnsi"/>
        </w:rPr>
        <w:t>:</w:t>
      </w:r>
    </w:p>
    <w:p w:rsidR="00FF2E82" w:rsidRPr="00726C39" w:rsidRDefault="00BA0088" w:rsidP="007074DF">
      <w:pPr>
        <w:pStyle w:val="ListParagraph"/>
        <w:numPr>
          <w:ilvl w:val="0"/>
          <w:numId w:val="5"/>
        </w:numPr>
        <w:spacing w:before="120" w:after="0" w:line="240" w:lineRule="auto"/>
        <w:ind w:left="450" w:hanging="270"/>
        <w:contextualSpacing w:val="0"/>
        <w:jc w:val="both"/>
        <w:rPr>
          <w:rFonts w:cstheme="minorHAnsi"/>
        </w:rPr>
      </w:pPr>
      <w:r w:rsidRPr="00726C39">
        <w:rPr>
          <w:rFonts w:cstheme="minorHAnsi"/>
        </w:rPr>
        <w:t>K</w:t>
      </w:r>
      <w:r w:rsidR="00FF2E82" w:rsidRPr="00726C39">
        <w:rPr>
          <w:rFonts w:cstheme="minorHAnsi"/>
        </w:rPr>
        <w:t>de je to možné, najít úspory</w:t>
      </w:r>
      <w:r w:rsidRPr="00726C39">
        <w:rPr>
          <w:rFonts w:cstheme="minorHAnsi"/>
        </w:rPr>
        <w:t xml:space="preserve"> (</w:t>
      </w:r>
      <w:r w:rsidR="00FF2E82" w:rsidRPr="00726C39">
        <w:rPr>
          <w:rFonts w:cstheme="minorHAnsi"/>
        </w:rPr>
        <w:t>např. společným dodavatelem energií nebo telekomunikačních služeb pro</w:t>
      </w:r>
      <w:r w:rsidR="00695602" w:rsidRPr="00726C39">
        <w:rPr>
          <w:rFonts w:cstheme="minorHAnsi"/>
        </w:rPr>
        <w:t xml:space="preserve"> </w:t>
      </w:r>
      <w:r w:rsidR="00FF2E82" w:rsidRPr="00726C39">
        <w:rPr>
          <w:rFonts w:cstheme="minorHAnsi"/>
        </w:rPr>
        <w:t>celou ČCE</w:t>
      </w:r>
      <w:r w:rsidRPr="00726C39">
        <w:rPr>
          <w:rFonts w:cstheme="minorHAnsi"/>
        </w:rPr>
        <w:t>).</w:t>
      </w:r>
    </w:p>
    <w:p w:rsidR="00FF2E82" w:rsidRPr="00726C39" w:rsidRDefault="00FF2E82" w:rsidP="007074DF">
      <w:pPr>
        <w:pStyle w:val="ListParagraph"/>
        <w:numPr>
          <w:ilvl w:val="0"/>
          <w:numId w:val="5"/>
        </w:numPr>
        <w:spacing w:after="0" w:line="240" w:lineRule="auto"/>
        <w:ind w:left="450" w:hanging="270"/>
        <w:contextualSpacing w:val="0"/>
        <w:jc w:val="both"/>
        <w:rPr>
          <w:rFonts w:cstheme="minorHAnsi"/>
        </w:rPr>
      </w:pPr>
      <w:r w:rsidRPr="00726C39">
        <w:rPr>
          <w:rFonts w:cstheme="minorHAnsi"/>
        </w:rPr>
        <w:t xml:space="preserve">Tlak na efektivitu </w:t>
      </w:r>
      <w:r w:rsidR="00BA0088" w:rsidRPr="00726C39">
        <w:rPr>
          <w:rFonts w:cstheme="minorHAnsi"/>
        </w:rPr>
        <w:t xml:space="preserve">vyvíjet </w:t>
      </w:r>
      <w:r w:rsidRPr="00726C39">
        <w:rPr>
          <w:rFonts w:cstheme="minorHAnsi"/>
        </w:rPr>
        <w:t xml:space="preserve">především při pronajímání </w:t>
      </w:r>
      <w:r w:rsidR="00FF1EF0" w:rsidRPr="00726C39">
        <w:rPr>
          <w:rFonts w:cstheme="minorHAnsi"/>
        </w:rPr>
        <w:t xml:space="preserve">církevních a sborových </w:t>
      </w:r>
      <w:r w:rsidRPr="00726C39">
        <w:rPr>
          <w:rFonts w:cstheme="minorHAnsi"/>
        </w:rPr>
        <w:t>nemovitostí</w:t>
      </w:r>
      <w:r w:rsidR="00BA0088" w:rsidRPr="00726C39">
        <w:rPr>
          <w:rFonts w:cstheme="minorHAnsi"/>
        </w:rPr>
        <w:t>.</w:t>
      </w:r>
    </w:p>
    <w:p w:rsidR="00FF2E82" w:rsidRPr="00726C39" w:rsidRDefault="00FF2E82" w:rsidP="007074DF">
      <w:pPr>
        <w:pStyle w:val="ListParagraph"/>
        <w:numPr>
          <w:ilvl w:val="0"/>
          <w:numId w:val="5"/>
        </w:numPr>
        <w:spacing w:after="0" w:line="240" w:lineRule="auto"/>
        <w:ind w:left="450" w:hanging="270"/>
        <w:contextualSpacing w:val="0"/>
        <w:jc w:val="both"/>
        <w:rPr>
          <w:rFonts w:cstheme="minorHAnsi"/>
        </w:rPr>
      </w:pPr>
      <w:r w:rsidRPr="00726C39">
        <w:rPr>
          <w:rFonts w:cstheme="minorHAnsi"/>
        </w:rPr>
        <w:t>Vyhledáv</w:t>
      </w:r>
      <w:r w:rsidR="00BA0088" w:rsidRPr="00726C39">
        <w:rPr>
          <w:rFonts w:cstheme="minorHAnsi"/>
        </w:rPr>
        <w:t xml:space="preserve">at </w:t>
      </w:r>
      <w:r w:rsidRPr="00726C39">
        <w:rPr>
          <w:rFonts w:cstheme="minorHAnsi"/>
        </w:rPr>
        <w:t>grant</w:t>
      </w:r>
      <w:r w:rsidR="00BA0088" w:rsidRPr="00726C39">
        <w:rPr>
          <w:rFonts w:cstheme="minorHAnsi"/>
        </w:rPr>
        <w:t>y vhodné pro financování projektů</w:t>
      </w:r>
      <w:r w:rsidRPr="00726C39">
        <w:rPr>
          <w:rFonts w:cstheme="minorHAnsi"/>
        </w:rPr>
        <w:t xml:space="preserve"> v</w:t>
      </w:r>
      <w:r w:rsidR="00BA0088" w:rsidRPr="00726C39">
        <w:rPr>
          <w:rFonts w:cstheme="minorHAnsi"/>
        </w:rPr>
        <w:t> </w:t>
      </w:r>
      <w:r w:rsidRPr="00726C39">
        <w:rPr>
          <w:rFonts w:cstheme="minorHAnsi"/>
        </w:rPr>
        <w:t>rámci</w:t>
      </w:r>
      <w:r w:rsidR="00BA0088" w:rsidRPr="00726C39">
        <w:rPr>
          <w:rFonts w:cstheme="minorHAnsi"/>
        </w:rPr>
        <w:t xml:space="preserve"> </w:t>
      </w:r>
      <w:r w:rsidRPr="00726C39">
        <w:rPr>
          <w:rFonts w:cstheme="minorHAnsi"/>
        </w:rPr>
        <w:t>církve</w:t>
      </w:r>
      <w:r w:rsidR="00BA0088" w:rsidRPr="00726C39">
        <w:rPr>
          <w:rFonts w:cstheme="minorHAnsi"/>
        </w:rPr>
        <w:t>.</w:t>
      </w:r>
    </w:p>
    <w:p w:rsidR="00821464" w:rsidRPr="00726C39" w:rsidRDefault="00BF4EBE" w:rsidP="007074DF">
      <w:pPr>
        <w:pStyle w:val="ListParagraph"/>
        <w:numPr>
          <w:ilvl w:val="0"/>
          <w:numId w:val="5"/>
        </w:numPr>
        <w:spacing w:after="0" w:line="240" w:lineRule="auto"/>
        <w:ind w:left="450" w:hanging="270"/>
        <w:contextualSpacing w:val="0"/>
        <w:jc w:val="both"/>
        <w:rPr>
          <w:rFonts w:cstheme="minorHAnsi"/>
        </w:rPr>
      </w:pPr>
      <w:r w:rsidRPr="00726C39">
        <w:rPr>
          <w:rFonts w:cstheme="minorHAnsi"/>
        </w:rPr>
        <w:t>Motivovat členy k plnění jejich závazků</w:t>
      </w:r>
      <w:r w:rsidR="0034564A" w:rsidRPr="00726C39">
        <w:rPr>
          <w:rFonts w:cstheme="minorHAnsi"/>
        </w:rPr>
        <w:t xml:space="preserve"> </w:t>
      </w:r>
      <w:r w:rsidRPr="00726C39">
        <w:rPr>
          <w:rFonts w:cstheme="minorHAnsi"/>
        </w:rPr>
        <w:t>při financování</w:t>
      </w:r>
      <w:r w:rsidR="00821464" w:rsidRPr="00726C39">
        <w:rPr>
          <w:rFonts w:cstheme="minorHAnsi"/>
        </w:rPr>
        <w:t xml:space="preserve"> života </w:t>
      </w:r>
      <w:r w:rsidRPr="00726C39">
        <w:rPr>
          <w:rFonts w:cstheme="minorHAnsi"/>
        </w:rPr>
        <w:t xml:space="preserve">sboru a </w:t>
      </w:r>
      <w:r w:rsidR="00821464" w:rsidRPr="00726C39">
        <w:rPr>
          <w:rFonts w:cstheme="minorHAnsi"/>
        </w:rPr>
        <w:t>církve</w:t>
      </w:r>
      <w:r w:rsidR="00BA0088" w:rsidRPr="00726C39">
        <w:rPr>
          <w:rFonts w:cstheme="minorHAnsi"/>
        </w:rPr>
        <w:t>.</w:t>
      </w:r>
    </w:p>
    <w:p w:rsidR="00E673E9" w:rsidRDefault="00E6258B" w:rsidP="00726C39">
      <w:pPr>
        <w:spacing w:before="120" w:after="0" w:line="240" w:lineRule="auto"/>
        <w:jc w:val="both"/>
        <w:rPr>
          <w:rFonts w:cstheme="minorHAnsi"/>
        </w:rPr>
      </w:pPr>
      <w:r>
        <w:rPr>
          <w:rFonts w:cstheme="minorHAnsi"/>
        </w:rPr>
        <w:t>Od každého člena sboru s</w:t>
      </w:r>
      <w:r w:rsidR="007074DF">
        <w:rPr>
          <w:rFonts w:cstheme="minorHAnsi"/>
        </w:rPr>
        <w:t> </w:t>
      </w:r>
      <w:r>
        <w:rPr>
          <w:rFonts w:cstheme="minorHAnsi"/>
        </w:rPr>
        <w:t>vlastním</w:t>
      </w:r>
      <w:r w:rsidR="007074DF">
        <w:rPr>
          <w:rFonts w:cstheme="minorHAnsi"/>
        </w:rPr>
        <w:t xml:space="preserve"> </w:t>
      </w:r>
      <w:r>
        <w:rPr>
          <w:rFonts w:cstheme="minorHAnsi"/>
        </w:rPr>
        <w:t>příjmem očekává církev platbu pravidelného ročního daru, tzv. salár. Uvědomujeme si rozdílnou finanční situaci jednotlivých členů sboru, a proto chceme zdůraznit, že výše saláru je dobrovolná. Zároveň však očekáváme, že kdo může, měl by přispět na provoz sboru alespoň jedním až třemi procenty svých příjmů. Doporučená výše je podle Řádu hospodaření církve pět procent celkových ročních čistých příjmů. Tato částka je již aktuální ve sborech, kde je méně členů a které nemají výnosy z</w:t>
      </w:r>
      <w:r w:rsidR="007074DF">
        <w:rPr>
          <w:rFonts w:cstheme="minorHAnsi"/>
        </w:rPr>
        <w:t> </w:t>
      </w:r>
      <w:r>
        <w:rPr>
          <w:rFonts w:cstheme="minorHAnsi"/>
        </w:rPr>
        <w:t xml:space="preserve">nemovitostí. </w:t>
      </w:r>
      <w:proofErr w:type="gramStart"/>
      <w:r>
        <w:rPr>
          <w:rFonts w:cstheme="minorHAnsi"/>
        </w:rPr>
        <w:t>Pro</w:t>
      </w:r>
      <w:proofErr w:type="gramEnd"/>
      <w:r>
        <w:rPr>
          <w:rFonts w:cstheme="minorHAnsi"/>
        </w:rPr>
        <w:t xml:space="preserve"> všechny je to však výhled na dobu, kdy již stát nebude církev nijak finančně podporovat. Salár lze platit jednou ročně nebo po částech. Někteří mají dobrou zkušenost s</w:t>
      </w:r>
      <w:r w:rsidR="007074DF">
        <w:rPr>
          <w:rFonts w:cstheme="minorHAnsi"/>
        </w:rPr>
        <w:t> </w:t>
      </w:r>
      <w:r>
        <w:rPr>
          <w:rFonts w:cstheme="minorHAnsi"/>
        </w:rPr>
        <w:t>trvalým</w:t>
      </w:r>
      <w:r w:rsidR="007074DF">
        <w:rPr>
          <w:rFonts w:cstheme="minorHAnsi"/>
        </w:rPr>
        <w:t xml:space="preserve"> </w:t>
      </w:r>
      <w:r>
        <w:rPr>
          <w:rFonts w:cstheme="minorHAnsi"/>
        </w:rPr>
        <w:t>měsíčním příkazem, kdy menší částka zatíží rodinný rozpočet méně citelně než jednorázová platba.</w:t>
      </w:r>
    </w:p>
    <w:p w:rsidR="00695602" w:rsidRDefault="00176331" w:rsidP="00726C39">
      <w:pPr>
        <w:spacing w:before="120" w:after="0" w:line="240" w:lineRule="auto"/>
        <w:jc w:val="both"/>
        <w:rPr>
          <w:rFonts w:cstheme="minorHAnsi"/>
        </w:rPr>
      </w:pPr>
      <w:r>
        <w:rPr>
          <w:rFonts w:cstheme="minorHAnsi"/>
        </w:rPr>
        <w:t xml:space="preserve">V této souvislosti děkujeme </w:t>
      </w:r>
      <w:r w:rsidRPr="00726C39">
        <w:rPr>
          <w:rFonts w:cstheme="minorHAnsi"/>
        </w:rPr>
        <w:t>všem</w:t>
      </w:r>
      <w:r w:rsidR="00E673E9">
        <w:rPr>
          <w:rFonts w:cstheme="minorHAnsi"/>
        </w:rPr>
        <w:t xml:space="preserve">, kteří </w:t>
      </w:r>
      <w:r w:rsidR="00E6258B">
        <w:rPr>
          <w:rFonts w:cstheme="minorHAnsi"/>
        </w:rPr>
        <w:t xml:space="preserve">salár </w:t>
      </w:r>
      <w:r w:rsidR="00E673E9">
        <w:rPr>
          <w:rFonts w:cstheme="minorHAnsi"/>
        </w:rPr>
        <w:t>pravidelně platíte, přispíváte do chrámových sbírek, přinášíte mimořádné dary, i vám, kdo jste</w:t>
      </w:r>
      <w:r>
        <w:rPr>
          <w:rFonts w:cstheme="minorHAnsi"/>
        </w:rPr>
        <w:t xml:space="preserve"> v loňském roce přispěli v rámci účelové sbírky na</w:t>
      </w:r>
      <w:r w:rsidRPr="00726C39">
        <w:rPr>
          <w:rFonts w:cstheme="minorHAnsi"/>
        </w:rPr>
        <w:t xml:space="preserve"> práce spojené se zlepšením akustiky sborového sálu </w:t>
      </w:r>
      <w:r>
        <w:rPr>
          <w:rFonts w:cstheme="minorHAnsi"/>
        </w:rPr>
        <w:t xml:space="preserve">celkem </w:t>
      </w:r>
      <w:r w:rsidRPr="00726C39">
        <w:rPr>
          <w:rFonts w:cstheme="minorHAnsi"/>
        </w:rPr>
        <w:t>68</w:t>
      </w:r>
      <w:r w:rsidRPr="00F7641A">
        <w:rPr>
          <w:rFonts w:cstheme="minorHAnsi"/>
        </w:rPr>
        <w:t> </w:t>
      </w:r>
      <w:r w:rsidRPr="00726C39">
        <w:rPr>
          <w:rFonts w:cstheme="minorHAnsi"/>
        </w:rPr>
        <w:t>000</w:t>
      </w:r>
      <w:r w:rsidRPr="00F7641A">
        <w:rPr>
          <w:rFonts w:cstheme="minorHAnsi"/>
        </w:rPr>
        <w:t> </w:t>
      </w:r>
      <w:r w:rsidRPr="00726C39">
        <w:rPr>
          <w:rFonts w:cstheme="minorHAnsi"/>
        </w:rPr>
        <w:t>Kč.</w:t>
      </w:r>
      <w:r>
        <w:rPr>
          <w:rFonts w:cstheme="minorHAnsi"/>
        </w:rPr>
        <w:t xml:space="preserve"> </w:t>
      </w:r>
      <w:r w:rsidR="00695602" w:rsidRPr="00726C39">
        <w:rPr>
          <w:rFonts w:cstheme="minorHAnsi"/>
        </w:rPr>
        <w:t xml:space="preserve">Práce </w:t>
      </w:r>
      <w:r w:rsidR="00E6258B">
        <w:rPr>
          <w:rFonts w:cstheme="minorHAnsi"/>
        </w:rPr>
        <w:t>byly úspěšně dokončeny na konci května.</w:t>
      </w:r>
      <w:r w:rsidR="00695602" w:rsidRPr="00726C39">
        <w:rPr>
          <w:rFonts w:cstheme="minorHAnsi"/>
        </w:rPr>
        <w:t xml:space="preserve"> </w:t>
      </w:r>
    </w:p>
    <w:p w:rsidR="007074DF" w:rsidRDefault="007074DF">
      <w:pPr>
        <w:rPr>
          <w:rFonts w:cstheme="minorHAnsi"/>
        </w:rPr>
      </w:pPr>
      <w:r>
        <w:rPr>
          <w:rFonts w:cstheme="minorHAnsi"/>
        </w:rPr>
        <w:br w:type="page"/>
      </w:r>
    </w:p>
    <w:p w:rsidR="00176331" w:rsidRPr="00E673E9" w:rsidRDefault="00176331" w:rsidP="00E673E9">
      <w:pPr>
        <w:shd w:val="clear" w:color="auto" w:fill="FFFFFF" w:themeFill="background1"/>
        <w:spacing w:before="120" w:after="0" w:line="240" w:lineRule="auto"/>
        <w:jc w:val="both"/>
        <w:rPr>
          <w:rFonts w:cstheme="minorHAnsi"/>
        </w:rPr>
      </w:pPr>
      <w:r w:rsidRPr="00E673E9">
        <w:rPr>
          <w:rFonts w:cstheme="minorHAnsi"/>
        </w:rPr>
        <w:lastRenderedPageBreak/>
        <w:t xml:space="preserve">Chceme vyjít vstříc všem, kteří chtějí odečíst příspěvky a dary pro církev ze základu </w:t>
      </w:r>
      <w:r w:rsidR="002B1174">
        <w:rPr>
          <w:rFonts w:cstheme="minorHAnsi"/>
        </w:rPr>
        <w:t>daně z příjmů fyzické osoby v</w:t>
      </w:r>
      <w:r w:rsidR="007074DF">
        <w:rPr>
          <w:rFonts w:cstheme="minorHAnsi"/>
        </w:rPr>
        <w:t> </w:t>
      </w:r>
      <w:r w:rsidR="002B1174">
        <w:rPr>
          <w:rFonts w:cstheme="minorHAnsi"/>
        </w:rPr>
        <w:t>maximální</w:t>
      </w:r>
      <w:r w:rsidR="007074DF">
        <w:rPr>
          <w:rFonts w:cstheme="minorHAnsi"/>
        </w:rPr>
        <w:t xml:space="preserve"> </w:t>
      </w:r>
      <w:r w:rsidR="002B1174">
        <w:rPr>
          <w:rFonts w:cstheme="minorHAnsi"/>
        </w:rPr>
        <w:t>výši.</w:t>
      </w:r>
      <w:r w:rsidRPr="00E673E9">
        <w:rPr>
          <w:rFonts w:cstheme="minorHAnsi"/>
        </w:rPr>
        <w:t xml:space="preserve"> Proto od 1</w:t>
      </w:r>
      <w:r w:rsidR="002B1174">
        <w:rPr>
          <w:rFonts w:cstheme="minorHAnsi"/>
        </w:rPr>
        <w:t>5</w:t>
      </w:r>
      <w:r w:rsidRPr="00E673E9">
        <w:rPr>
          <w:rFonts w:cstheme="minorHAnsi"/>
        </w:rPr>
        <w:t>. 4. 2019 nabízíme možnost zakoupení kupónů do sbírky v hodnotě 50, 100, 200 a 500 Kč, aby bylo možno tento výdaj zanést do účetnictví a na konci roku připočíst k saláru a</w:t>
      </w:r>
      <w:r w:rsidR="007074DF" w:rsidRPr="00726C39">
        <w:rPr>
          <w:rFonts w:cstheme="minorHAnsi"/>
        </w:rPr>
        <w:t> </w:t>
      </w:r>
      <w:r w:rsidRPr="00E673E9">
        <w:rPr>
          <w:rFonts w:cstheme="minorHAnsi"/>
        </w:rPr>
        <w:t xml:space="preserve">darům </w:t>
      </w:r>
      <w:r w:rsidR="002B1174">
        <w:rPr>
          <w:rFonts w:cstheme="minorHAnsi"/>
        </w:rPr>
        <w:t xml:space="preserve">pro uplatnění odečtu v </w:t>
      </w:r>
      <w:r w:rsidRPr="00E673E9">
        <w:rPr>
          <w:rFonts w:cstheme="minorHAnsi"/>
        </w:rPr>
        <w:t>daňové</w:t>
      </w:r>
      <w:r w:rsidR="002B1174">
        <w:rPr>
          <w:rFonts w:cstheme="minorHAnsi"/>
        </w:rPr>
        <w:t>m</w:t>
      </w:r>
      <w:r w:rsidRPr="00E673E9">
        <w:rPr>
          <w:rFonts w:cstheme="minorHAnsi"/>
        </w:rPr>
        <w:t xml:space="preserve"> přiznání.  </w:t>
      </w:r>
    </w:p>
    <w:p w:rsidR="00FF1EF0" w:rsidRPr="008501A6" w:rsidRDefault="00FF1EF0" w:rsidP="007074DF">
      <w:pPr>
        <w:spacing w:before="240" w:after="120" w:line="240" w:lineRule="auto"/>
        <w:jc w:val="both"/>
        <w:rPr>
          <w:rFonts w:cstheme="minorHAnsi"/>
          <w:b/>
        </w:rPr>
      </w:pPr>
      <w:r w:rsidRPr="008501A6">
        <w:rPr>
          <w:rFonts w:cstheme="minorHAnsi"/>
          <w:b/>
        </w:rPr>
        <w:t>Stručný přehled hospod</w:t>
      </w:r>
      <w:r w:rsidR="003F25AD">
        <w:rPr>
          <w:rFonts w:cstheme="minorHAnsi"/>
          <w:b/>
        </w:rPr>
        <w:t>a</w:t>
      </w:r>
      <w:r w:rsidRPr="008501A6">
        <w:rPr>
          <w:rFonts w:cstheme="minorHAnsi"/>
          <w:b/>
        </w:rPr>
        <w:t>ření klimentského sboru</w:t>
      </w:r>
      <w:r w:rsidR="004C19A8" w:rsidRPr="008501A6">
        <w:rPr>
          <w:rFonts w:cstheme="minorHAnsi"/>
          <w:b/>
        </w:rPr>
        <w:t xml:space="preserve"> </w:t>
      </w:r>
      <w:r w:rsidR="00E673E9">
        <w:rPr>
          <w:rFonts w:cstheme="minorHAnsi"/>
          <w:b/>
        </w:rPr>
        <w:t>v</w:t>
      </w:r>
      <w:r w:rsidR="00170DDB">
        <w:rPr>
          <w:rFonts w:cstheme="minorHAnsi"/>
          <w:b/>
        </w:rPr>
        <w:t> </w:t>
      </w:r>
      <w:r w:rsidR="00E673E9">
        <w:rPr>
          <w:rFonts w:cstheme="minorHAnsi"/>
          <w:b/>
        </w:rPr>
        <w:t>roce</w:t>
      </w:r>
      <w:r w:rsidR="00170DDB">
        <w:rPr>
          <w:rFonts w:cstheme="minorHAnsi"/>
          <w:b/>
        </w:rPr>
        <w:t xml:space="preserve"> </w:t>
      </w:r>
      <w:r w:rsidR="00E673E9">
        <w:rPr>
          <w:rFonts w:cstheme="minorHAnsi"/>
          <w:b/>
        </w:rPr>
        <w:t>2018</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363"/>
        <w:gridCol w:w="2364"/>
        <w:gridCol w:w="2364"/>
      </w:tblGrid>
      <w:tr w:rsidR="00176331" w:rsidTr="008501A6">
        <w:tc>
          <w:tcPr>
            <w:tcW w:w="2255" w:type="dxa"/>
            <w:tcBorders>
              <w:top w:val="single" w:sz="4" w:space="0" w:color="auto"/>
              <w:bottom w:val="single" w:sz="4" w:space="0" w:color="auto"/>
            </w:tcBorders>
          </w:tcPr>
          <w:p w:rsidR="00176331" w:rsidRDefault="004C19A8" w:rsidP="00176331">
            <w:pPr>
              <w:jc w:val="both"/>
              <w:rPr>
                <w:rFonts w:cstheme="minorHAnsi"/>
              </w:rPr>
            </w:pPr>
            <w:r>
              <w:rPr>
                <w:rFonts w:cstheme="minorHAnsi"/>
              </w:rPr>
              <w:t>Výnosy</w:t>
            </w:r>
          </w:p>
        </w:tc>
        <w:tc>
          <w:tcPr>
            <w:tcW w:w="2363" w:type="dxa"/>
            <w:tcBorders>
              <w:top w:val="single" w:sz="4" w:space="0" w:color="auto"/>
              <w:bottom w:val="single" w:sz="4" w:space="0" w:color="auto"/>
              <w:right w:val="single" w:sz="4" w:space="0" w:color="auto"/>
            </w:tcBorders>
          </w:tcPr>
          <w:p w:rsidR="00176331" w:rsidRDefault="004C19A8" w:rsidP="004C19A8">
            <w:pPr>
              <w:ind w:right="550"/>
              <w:jc w:val="right"/>
              <w:rPr>
                <w:rFonts w:cstheme="minorHAnsi"/>
              </w:rPr>
            </w:pPr>
            <w:r>
              <w:rPr>
                <w:rFonts w:cstheme="minorHAnsi"/>
              </w:rPr>
              <w:t>Kč</w:t>
            </w:r>
          </w:p>
        </w:tc>
        <w:tc>
          <w:tcPr>
            <w:tcW w:w="2364" w:type="dxa"/>
            <w:tcBorders>
              <w:top w:val="single" w:sz="4" w:space="0" w:color="auto"/>
              <w:left w:val="single" w:sz="4" w:space="0" w:color="auto"/>
              <w:bottom w:val="single" w:sz="4" w:space="0" w:color="auto"/>
            </w:tcBorders>
          </w:tcPr>
          <w:p w:rsidR="00176331" w:rsidRDefault="004C19A8" w:rsidP="00176331">
            <w:pPr>
              <w:jc w:val="both"/>
              <w:rPr>
                <w:rFonts w:cstheme="minorHAnsi"/>
              </w:rPr>
            </w:pPr>
            <w:r>
              <w:rPr>
                <w:rFonts w:cstheme="minorHAnsi"/>
              </w:rPr>
              <w:t>Náklady</w:t>
            </w:r>
          </w:p>
        </w:tc>
        <w:tc>
          <w:tcPr>
            <w:tcW w:w="2364" w:type="dxa"/>
            <w:tcBorders>
              <w:top w:val="single" w:sz="4" w:space="0" w:color="auto"/>
              <w:bottom w:val="single" w:sz="4" w:space="0" w:color="auto"/>
            </w:tcBorders>
          </w:tcPr>
          <w:p w:rsidR="00176331" w:rsidRDefault="004C19A8" w:rsidP="004C19A8">
            <w:pPr>
              <w:ind w:right="508"/>
              <w:jc w:val="right"/>
              <w:rPr>
                <w:rFonts w:cstheme="minorHAnsi"/>
              </w:rPr>
            </w:pPr>
            <w:r>
              <w:rPr>
                <w:rFonts w:cstheme="minorHAnsi"/>
              </w:rPr>
              <w:t>Kč</w:t>
            </w:r>
          </w:p>
        </w:tc>
      </w:tr>
      <w:tr w:rsidR="00176331" w:rsidTr="008501A6">
        <w:tc>
          <w:tcPr>
            <w:tcW w:w="2255" w:type="dxa"/>
            <w:tcBorders>
              <w:top w:val="single" w:sz="4" w:space="0" w:color="auto"/>
            </w:tcBorders>
          </w:tcPr>
          <w:p w:rsidR="00176331" w:rsidRDefault="00E673E9" w:rsidP="00176331">
            <w:pPr>
              <w:jc w:val="both"/>
              <w:rPr>
                <w:rFonts w:cstheme="minorHAnsi"/>
              </w:rPr>
            </w:pPr>
            <w:r w:rsidRPr="00726C39">
              <w:rPr>
                <w:rFonts w:cstheme="minorHAnsi"/>
              </w:rPr>
              <w:t>S</w:t>
            </w:r>
            <w:r w:rsidR="004C19A8" w:rsidRPr="00726C39">
              <w:rPr>
                <w:rFonts w:cstheme="minorHAnsi"/>
              </w:rPr>
              <w:t>alár</w:t>
            </w:r>
          </w:p>
        </w:tc>
        <w:tc>
          <w:tcPr>
            <w:tcW w:w="2363" w:type="dxa"/>
            <w:tcBorders>
              <w:top w:val="single" w:sz="4" w:space="0" w:color="auto"/>
              <w:right w:val="single" w:sz="4" w:space="0" w:color="auto"/>
            </w:tcBorders>
          </w:tcPr>
          <w:p w:rsidR="00176331" w:rsidRDefault="004C19A8" w:rsidP="004C19A8">
            <w:pPr>
              <w:ind w:right="550"/>
              <w:jc w:val="right"/>
              <w:rPr>
                <w:rFonts w:cstheme="minorHAnsi"/>
              </w:rPr>
            </w:pPr>
            <w:r w:rsidRPr="00726C39">
              <w:rPr>
                <w:rFonts w:cstheme="minorHAnsi"/>
              </w:rPr>
              <w:t>407 000</w:t>
            </w:r>
          </w:p>
        </w:tc>
        <w:tc>
          <w:tcPr>
            <w:tcW w:w="2364" w:type="dxa"/>
            <w:tcBorders>
              <w:top w:val="single" w:sz="4" w:space="0" w:color="auto"/>
              <w:left w:val="single" w:sz="4" w:space="0" w:color="auto"/>
            </w:tcBorders>
          </w:tcPr>
          <w:p w:rsidR="00176331" w:rsidRDefault="004C19A8" w:rsidP="00176331">
            <w:pPr>
              <w:jc w:val="both"/>
              <w:rPr>
                <w:rFonts w:cstheme="minorHAnsi"/>
              </w:rPr>
            </w:pPr>
            <w:r w:rsidRPr="00726C39">
              <w:rPr>
                <w:rFonts w:cstheme="minorHAnsi"/>
              </w:rPr>
              <w:t>provozní</w:t>
            </w:r>
          </w:p>
        </w:tc>
        <w:tc>
          <w:tcPr>
            <w:tcW w:w="2364" w:type="dxa"/>
            <w:tcBorders>
              <w:top w:val="single" w:sz="4" w:space="0" w:color="auto"/>
            </w:tcBorders>
          </w:tcPr>
          <w:p w:rsidR="00176331" w:rsidRDefault="004C19A8" w:rsidP="004C19A8">
            <w:pPr>
              <w:ind w:right="508"/>
              <w:jc w:val="right"/>
              <w:rPr>
                <w:rFonts w:cstheme="minorHAnsi"/>
              </w:rPr>
            </w:pPr>
            <w:r w:rsidRPr="00726C39">
              <w:rPr>
                <w:rFonts w:cstheme="minorHAnsi"/>
              </w:rPr>
              <w:t>77 000</w:t>
            </w:r>
          </w:p>
        </w:tc>
      </w:tr>
      <w:tr w:rsidR="00176331" w:rsidTr="008501A6">
        <w:tc>
          <w:tcPr>
            <w:tcW w:w="2255" w:type="dxa"/>
          </w:tcPr>
          <w:p w:rsidR="00176331" w:rsidRDefault="004C19A8" w:rsidP="00176331">
            <w:pPr>
              <w:jc w:val="both"/>
              <w:rPr>
                <w:rFonts w:cstheme="minorHAnsi"/>
              </w:rPr>
            </w:pPr>
            <w:r w:rsidRPr="00726C39">
              <w:rPr>
                <w:rFonts w:cstheme="minorHAnsi"/>
              </w:rPr>
              <w:t>sborové sbírky</w:t>
            </w:r>
          </w:p>
        </w:tc>
        <w:tc>
          <w:tcPr>
            <w:tcW w:w="2363" w:type="dxa"/>
            <w:tcBorders>
              <w:right w:val="single" w:sz="4" w:space="0" w:color="auto"/>
            </w:tcBorders>
          </w:tcPr>
          <w:p w:rsidR="00176331" w:rsidRDefault="004C19A8" w:rsidP="004C19A8">
            <w:pPr>
              <w:ind w:right="550"/>
              <w:jc w:val="right"/>
              <w:rPr>
                <w:rFonts w:cstheme="minorHAnsi"/>
              </w:rPr>
            </w:pPr>
            <w:r w:rsidRPr="00726C39">
              <w:rPr>
                <w:rFonts w:cstheme="minorHAnsi"/>
              </w:rPr>
              <w:t>158 000</w:t>
            </w:r>
          </w:p>
        </w:tc>
        <w:tc>
          <w:tcPr>
            <w:tcW w:w="2364" w:type="dxa"/>
            <w:tcBorders>
              <w:left w:val="single" w:sz="4" w:space="0" w:color="auto"/>
            </w:tcBorders>
          </w:tcPr>
          <w:p w:rsidR="00176331" w:rsidRDefault="004C19A8" w:rsidP="00176331">
            <w:pPr>
              <w:jc w:val="both"/>
              <w:rPr>
                <w:rFonts w:cstheme="minorHAnsi"/>
              </w:rPr>
            </w:pPr>
            <w:r w:rsidRPr="00726C39">
              <w:rPr>
                <w:rFonts w:cstheme="minorHAnsi"/>
              </w:rPr>
              <w:t>energie</w:t>
            </w:r>
          </w:p>
        </w:tc>
        <w:tc>
          <w:tcPr>
            <w:tcW w:w="2364" w:type="dxa"/>
          </w:tcPr>
          <w:p w:rsidR="00176331" w:rsidRDefault="004C19A8" w:rsidP="004C19A8">
            <w:pPr>
              <w:ind w:right="508"/>
              <w:jc w:val="right"/>
              <w:rPr>
                <w:rFonts w:cstheme="minorHAnsi"/>
              </w:rPr>
            </w:pPr>
            <w:r w:rsidRPr="00726C39">
              <w:rPr>
                <w:rFonts w:cstheme="minorHAnsi"/>
              </w:rPr>
              <w:t>154 000</w:t>
            </w:r>
          </w:p>
        </w:tc>
      </w:tr>
      <w:tr w:rsidR="00176331" w:rsidTr="008501A6">
        <w:tc>
          <w:tcPr>
            <w:tcW w:w="2255" w:type="dxa"/>
          </w:tcPr>
          <w:p w:rsidR="00176331" w:rsidRDefault="004C19A8" w:rsidP="00176331">
            <w:pPr>
              <w:jc w:val="both"/>
              <w:rPr>
                <w:rFonts w:cstheme="minorHAnsi"/>
              </w:rPr>
            </w:pPr>
            <w:r w:rsidRPr="00726C39">
              <w:rPr>
                <w:rFonts w:cstheme="minorHAnsi"/>
              </w:rPr>
              <w:t>sbírka na sál</w:t>
            </w:r>
          </w:p>
        </w:tc>
        <w:tc>
          <w:tcPr>
            <w:tcW w:w="2363" w:type="dxa"/>
            <w:tcBorders>
              <w:right w:val="single" w:sz="4" w:space="0" w:color="auto"/>
            </w:tcBorders>
          </w:tcPr>
          <w:p w:rsidR="00176331" w:rsidRPr="001A2571" w:rsidRDefault="004C19A8" w:rsidP="004C19A8">
            <w:pPr>
              <w:ind w:right="550"/>
              <w:jc w:val="right"/>
              <w:rPr>
                <w:rFonts w:cstheme="minorHAnsi"/>
              </w:rPr>
            </w:pPr>
            <w:r w:rsidRPr="001A2571">
              <w:rPr>
                <w:rFonts w:cstheme="minorHAnsi"/>
              </w:rPr>
              <w:t>68 000</w:t>
            </w:r>
          </w:p>
        </w:tc>
        <w:tc>
          <w:tcPr>
            <w:tcW w:w="2364" w:type="dxa"/>
            <w:tcBorders>
              <w:left w:val="single" w:sz="4" w:space="0" w:color="auto"/>
            </w:tcBorders>
          </w:tcPr>
          <w:p w:rsidR="00176331" w:rsidRDefault="004C19A8" w:rsidP="00176331">
            <w:pPr>
              <w:jc w:val="both"/>
              <w:rPr>
                <w:rFonts w:cstheme="minorHAnsi"/>
              </w:rPr>
            </w:pPr>
            <w:r w:rsidRPr="00726C39">
              <w:rPr>
                <w:rFonts w:cstheme="minorHAnsi"/>
              </w:rPr>
              <w:t>mzdové výdaje</w:t>
            </w:r>
          </w:p>
        </w:tc>
        <w:tc>
          <w:tcPr>
            <w:tcW w:w="2364" w:type="dxa"/>
          </w:tcPr>
          <w:p w:rsidR="00176331" w:rsidRDefault="004C19A8" w:rsidP="004C19A8">
            <w:pPr>
              <w:ind w:right="508"/>
              <w:jc w:val="right"/>
              <w:rPr>
                <w:rFonts w:cstheme="minorHAnsi"/>
              </w:rPr>
            </w:pPr>
            <w:r w:rsidRPr="00726C39">
              <w:rPr>
                <w:rFonts w:cstheme="minorHAnsi"/>
              </w:rPr>
              <w:t>309 000</w:t>
            </w:r>
          </w:p>
        </w:tc>
      </w:tr>
      <w:tr w:rsidR="00176331" w:rsidTr="008501A6">
        <w:tc>
          <w:tcPr>
            <w:tcW w:w="2255" w:type="dxa"/>
          </w:tcPr>
          <w:p w:rsidR="00176331" w:rsidRDefault="004C19A8" w:rsidP="00176331">
            <w:pPr>
              <w:jc w:val="both"/>
              <w:rPr>
                <w:rFonts w:cstheme="minorHAnsi"/>
              </w:rPr>
            </w:pPr>
            <w:r w:rsidRPr="00726C39">
              <w:rPr>
                <w:rFonts w:cstheme="minorHAnsi"/>
              </w:rPr>
              <w:t>dary ostatní</w:t>
            </w:r>
          </w:p>
        </w:tc>
        <w:tc>
          <w:tcPr>
            <w:tcW w:w="2363" w:type="dxa"/>
            <w:tcBorders>
              <w:right w:val="single" w:sz="4" w:space="0" w:color="auto"/>
            </w:tcBorders>
          </w:tcPr>
          <w:p w:rsidR="00176331" w:rsidRPr="001A2571" w:rsidRDefault="004C19A8" w:rsidP="004C19A8">
            <w:pPr>
              <w:ind w:right="550"/>
              <w:jc w:val="right"/>
              <w:rPr>
                <w:rFonts w:cstheme="minorHAnsi"/>
              </w:rPr>
            </w:pPr>
            <w:r w:rsidRPr="001A2571">
              <w:rPr>
                <w:rFonts w:cstheme="minorHAnsi"/>
              </w:rPr>
              <w:t>47 000</w:t>
            </w:r>
          </w:p>
        </w:tc>
        <w:tc>
          <w:tcPr>
            <w:tcW w:w="2364" w:type="dxa"/>
            <w:tcBorders>
              <w:left w:val="single" w:sz="4" w:space="0" w:color="auto"/>
            </w:tcBorders>
          </w:tcPr>
          <w:p w:rsidR="00176331" w:rsidRDefault="00BF7FC3" w:rsidP="003F25AD">
            <w:pPr>
              <w:jc w:val="both"/>
              <w:rPr>
                <w:rFonts w:cstheme="minorHAnsi"/>
              </w:rPr>
            </w:pPr>
            <w:r>
              <w:rPr>
                <w:rFonts w:cstheme="minorHAnsi"/>
              </w:rPr>
              <w:t>o</w:t>
            </w:r>
            <w:r w:rsidR="004C19A8" w:rsidRPr="00726C39">
              <w:rPr>
                <w:rFonts w:cstheme="minorHAnsi"/>
              </w:rPr>
              <w:t>dvod</w:t>
            </w:r>
            <w:r>
              <w:rPr>
                <w:rFonts w:cstheme="minorHAnsi"/>
              </w:rPr>
              <w:t>:</w:t>
            </w:r>
            <w:r w:rsidR="004C19A8" w:rsidRPr="00726C39">
              <w:rPr>
                <w:rFonts w:cstheme="minorHAnsi"/>
              </w:rPr>
              <w:t xml:space="preserve"> </w:t>
            </w:r>
            <w:r w:rsidR="003F25AD">
              <w:rPr>
                <w:rFonts w:cstheme="minorHAnsi"/>
              </w:rPr>
              <w:t>p</w:t>
            </w:r>
            <w:r w:rsidR="004C19A8" w:rsidRPr="00726C39">
              <w:rPr>
                <w:rFonts w:cstheme="minorHAnsi"/>
              </w:rPr>
              <w:t>ersonální fond</w:t>
            </w:r>
          </w:p>
        </w:tc>
        <w:tc>
          <w:tcPr>
            <w:tcW w:w="2364" w:type="dxa"/>
          </w:tcPr>
          <w:p w:rsidR="00176331" w:rsidRDefault="004C19A8" w:rsidP="004C19A8">
            <w:pPr>
              <w:ind w:right="508"/>
              <w:jc w:val="right"/>
              <w:rPr>
                <w:rFonts w:cstheme="minorHAnsi"/>
              </w:rPr>
            </w:pPr>
            <w:r w:rsidRPr="00726C39">
              <w:rPr>
                <w:rFonts w:cstheme="minorHAnsi"/>
              </w:rPr>
              <w:t>108 000</w:t>
            </w:r>
          </w:p>
        </w:tc>
      </w:tr>
      <w:tr w:rsidR="00176331" w:rsidTr="008501A6">
        <w:tc>
          <w:tcPr>
            <w:tcW w:w="2255" w:type="dxa"/>
          </w:tcPr>
          <w:p w:rsidR="00176331" w:rsidRDefault="004C19A8" w:rsidP="00176331">
            <w:pPr>
              <w:jc w:val="both"/>
              <w:rPr>
                <w:rFonts w:cstheme="minorHAnsi"/>
              </w:rPr>
            </w:pPr>
            <w:r w:rsidRPr="00726C39">
              <w:rPr>
                <w:rFonts w:cstheme="minorHAnsi"/>
              </w:rPr>
              <w:t>příjmy z</w:t>
            </w:r>
            <w:r>
              <w:rPr>
                <w:rFonts w:cstheme="minorHAnsi"/>
              </w:rPr>
              <w:t> </w:t>
            </w:r>
            <w:r w:rsidRPr="00726C39">
              <w:rPr>
                <w:rFonts w:cstheme="minorHAnsi"/>
              </w:rPr>
              <w:t>pronájmů</w:t>
            </w:r>
          </w:p>
        </w:tc>
        <w:tc>
          <w:tcPr>
            <w:tcW w:w="2363" w:type="dxa"/>
            <w:tcBorders>
              <w:right w:val="single" w:sz="4" w:space="0" w:color="auto"/>
            </w:tcBorders>
          </w:tcPr>
          <w:p w:rsidR="00176331" w:rsidRDefault="004C19A8" w:rsidP="004C19A8">
            <w:pPr>
              <w:ind w:right="550"/>
              <w:jc w:val="right"/>
              <w:rPr>
                <w:rFonts w:cstheme="minorHAnsi"/>
              </w:rPr>
            </w:pPr>
            <w:r w:rsidRPr="00726C39">
              <w:rPr>
                <w:rFonts w:cstheme="minorHAnsi"/>
              </w:rPr>
              <w:t>681 000</w:t>
            </w:r>
          </w:p>
        </w:tc>
        <w:tc>
          <w:tcPr>
            <w:tcW w:w="2364" w:type="dxa"/>
            <w:tcBorders>
              <w:left w:val="single" w:sz="4" w:space="0" w:color="auto"/>
            </w:tcBorders>
          </w:tcPr>
          <w:p w:rsidR="00176331" w:rsidRDefault="004C19A8" w:rsidP="00176331">
            <w:pPr>
              <w:jc w:val="both"/>
              <w:rPr>
                <w:rFonts w:cstheme="minorHAnsi"/>
              </w:rPr>
            </w:pPr>
            <w:r w:rsidRPr="00726C39">
              <w:rPr>
                <w:rFonts w:cstheme="minorHAnsi"/>
              </w:rPr>
              <w:t>celocírkevní repartice</w:t>
            </w:r>
          </w:p>
        </w:tc>
        <w:tc>
          <w:tcPr>
            <w:tcW w:w="2364" w:type="dxa"/>
          </w:tcPr>
          <w:p w:rsidR="00176331" w:rsidRDefault="004C19A8" w:rsidP="004C19A8">
            <w:pPr>
              <w:ind w:right="508"/>
              <w:jc w:val="right"/>
              <w:rPr>
                <w:rFonts w:cstheme="minorHAnsi"/>
              </w:rPr>
            </w:pPr>
            <w:r w:rsidRPr="00726C39">
              <w:rPr>
                <w:rFonts w:cstheme="minorHAnsi"/>
              </w:rPr>
              <w:t>34 000</w:t>
            </w:r>
          </w:p>
        </w:tc>
      </w:tr>
      <w:tr w:rsidR="00176331" w:rsidTr="008501A6">
        <w:tc>
          <w:tcPr>
            <w:tcW w:w="2255" w:type="dxa"/>
          </w:tcPr>
          <w:p w:rsidR="00176331" w:rsidRDefault="004C19A8" w:rsidP="00176331">
            <w:pPr>
              <w:jc w:val="both"/>
              <w:rPr>
                <w:rFonts w:cstheme="minorHAnsi"/>
              </w:rPr>
            </w:pPr>
            <w:r w:rsidRPr="00726C39">
              <w:rPr>
                <w:rFonts w:cstheme="minorHAnsi"/>
              </w:rPr>
              <w:t>ostatní příjmy</w:t>
            </w:r>
          </w:p>
        </w:tc>
        <w:tc>
          <w:tcPr>
            <w:tcW w:w="2363" w:type="dxa"/>
            <w:tcBorders>
              <w:right w:val="single" w:sz="4" w:space="0" w:color="auto"/>
            </w:tcBorders>
          </w:tcPr>
          <w:p w:rsidR="00176331" w:rsidRDefault="004C19A8" w:rsidP="004C19A8">
            <w:pPr>
              <w:ind w:right="550"/>
              <w:jc w:val="right"/>
              <w:rPr>
                <w:rFonts w:cstheme="minorHAnsi"/>
              </w:rPr>
            </w:pPr>
            <w:r w:rsidRPr="00726C39">
              <w:rPr>
                <w:rFonts w:cstheme="minorHAnsi"/>
              </w:rPr>
              <w:t>22 000</w:t>
            </w:r>
          </w:p>
        </w:tc>
        <w:tc>
          <w:tcPr>
            <w:tcW w:w="2364" w:type="dxa"/>
            <w:tcBorders>
              <w:left w:val="single" w:sz="4" w:space="0" w:color="auto"/>
            </w:tcBorders>
          </w:tcPr>
          <w:p w:rsidR="00176331" w:rsidRDefault="004C19A8" w:rsidP="00176331">
            <w:pPr>
              <w:jc w:val="both"/>
              <w:rPr>
                <w:rFonts w:cstheme="minorHAnsi"/>
              </w:rPr>
            </w:pPr>
            <w:r w:rsidRPr="00726C39">
              <w:rPr>
                <w:rFonts w:cstheme="minorHAnsi"/>
              </w:rPr>
              <w:t>seniorátní repartice</w:t>
            </w:r>
          </w:p>
        </w:tc>
        <w:tc>
          <w:tcPr>
            <w:tcW w:w="2364" w:type="dxa"/>
          </w:tcPr>
          <w:p w:rsidR="00176331" w:rsidRDefault="004C19A8" w:rsidP="004C19A8">
            <w:pPr>
              <w:ind w:right="508"/>
              <w:jc w:val="right"/>
              <w:rPr>
                <w:rFonts w:cstheme="minorHAnsi"/>
              </w:rPr>
            </w:pPr>
            <w:r w:rsidRPr="00726C39">
              <w:rPr>
                <w:rFonts w:cstheme="minorHAnsi"/>
              </w:rPr>
              <w:t>19 000</w:t>
            </w:r>
          </w:p>
        </w:tc>
      </w:tr>
      <w:tr w:rsidR="00176331" w:rsidTr="008501A6">
        <w:tc>
          <w:tcPr>
            <w:tcW w:w="2255" w:type="dxa"/>
          </w:tcPr>
          <w:p w:rsidR="00176331" w:rsidRDefault="00176331" w:rsidP="00176331">
            <w:pPr>
              <w:jc w:val="both"/>
              <w:rPr>
                <w:rFonts w:cstheme="minorHAnsi"/>
              </w:rPr>
            </w:pPr>
          </w:p>
        </w:tc>
        <w:tc>
          <w:tcPr>
            <w:tcW w:w="2363" w:type="dxa"/>
            <w:tcBorders>
              <w:right w:val="single" w:sz="4" w:space="0" w:color="auto"/>
            </w:tcBorders>
          </w:tcPr>
          <w:p w:rsidR="00176331" w:rsidRDefault="00176331" w:rsidP="004C19A8">
            <w:pPr>
              <w:ind w:right="550"/>
              <w:jc w:val="right"/>
              <w:rPr>
                <w:rFonts w:cstheme="minorHAnsi"/>
              </w:rPr>
            </w:pPr>
          </w:p>
        </w:tc>
        <w:tc>
          <w:tcPr>
            <w:tcW w:w="2364" w:type="dxa"/>
            <w:tcBorders>
              <w:left w:val="single" w:sz="4" w:space="0" w:color="auto"/>
            </w:tcBorders>
          </w:tcPr>
          <w:p w:rsidR="00176331" w:rsidRDefault="004C19A8" w:rsidP="00176331">
            <w:pPr>
              <w:jc w:val="both"/>
              <w:rPr>
                <w:rFonts w:cstheme="minorHAnsi"/>
              </w:rPr>
            </w:pPr>
            <w:r w:rsidRPr="00726C39">
              <w:rPr>
                <w:rFonts w:cstheme="minorHAnsi"/>
              </w:rPr>
              <w:t>poskytnuté dary</w:t>
            </w:r>
          </w:p>
        </w:tc>
        <w:tc>
          <w:tcPr>
            <w:tcW w:w="2364" w:type="dxa"/>
          </w:tcPr>
          <w:p w:rsidR="00176331" w:rsidRDefault="004C19A8" w:rsidP="004C19A8">
            <w:pPr>
              <w:ind w:right="508"/>
              <w:jc w:val="right"/>
              <w:rPr>
                <w:rFonts w:cstheme="minorHAnsi"/>
              </w:rPr>
            </w:pPr>
            <w:r w:rsidRPr="00726C39">
              <w:rPr>
                <w:rFonts w:cstheme="minorHAnsi"/>
              </w:rPr>
              <w:t>28 000</w:t>
            </w:r>
          </w:p>
        </w:tc>
      </w:tr>
      <w:tr w:rsidR="00176331" w:rsidTr="008501A6">
        <w:tc>
          <w:tcPr>
            <w:tcW w:w="2255" w:type="dxa"/>
          </w:tcPr>
          <w:p w:rsidR="00176331" w:rsidRDefault="00176331" w:rsidP="00176331">
            <w:pPr>
              <w:jc w:val="both"/>
              <w:rPr>
                <w:rFonts w:cstheme="minorHAnsi"/>
              </w:rPr>
            </w:pPr>
          </w:p>
        </w:tc>
        <w:tc>
          <w:tcPr>
            <w:tcW w:w="2363" w:type="dxa"/>
            <w:tcBorders>
              <w:right w:val="single" w:sz="4" w:space="0" w:color="auto"/>
            </w:tcBorders>
          </w:tcPr>
          <w:p w:rsidR="00176331" w:rsidRDefault="00176331" w:rsidP="004C19A8">
            <w:pPr>
              <w:ind w:right="550"/>
              <w:jc w:val="right"/>
              <w:rPr>
                <w:rFonts w:cstheme="minorHAnsi"/>
              </w:rPr>
            </w:pPr>
          </w:p>
        </w:tc>
        <w:tc>
          <w:tcPr>
            <w:tcW w:w="2364" w:type="dxa"/>
            <w:tcBorders>
              <w:left w:val="single" w:sz="4" w:space="0" w:color="auto"/>
            </w:tcBorders>
          </w:tcPr>
          <w:p w:rsidR="00176331" w:rsidRDefault="004C19A8" w:rsidP="00176331">
            <w:pPr>
              <w:jc w:val="both"/>
              <w:rPr>
                <w:rFonts w:cstheme="minorHAnsi"/>
              </w:rPr>
            </w:pPr>
            <w:r w:rsidRPr="00726C39">
              <w:rPr>
                <w:rFonts w:cstheme="minorHAnsi"/>
              </w:rPr>
              <w:t>údržba</w:t>
            </w:r>
          </w:p>
        </w:tc>
        <w:tc>
          <w:tcPr>
            <w:tcW w:w="2364" w:type="dxa"/>
          </w:tcPr>
          <w:p w:rsidR="00176331" w:rsidRDefault="004C19A8" w:rsidP="004C19A8">
            <w:pPr>
              <w:ind w:right="508"/>
              <w:jc w:val="right"/>
              <w:rPr>
                <w:rFonts w:cstheme="minorHAnsi"/>
              </w:rPr>
            </w:pPr>
            <w:r w:rsidRPr="00726C39">
              <w:rPr>
                <w:rFonts w:cstheme="minorHAnsi"/>
              </w:rPr>
              <w:t>79 000</w:t>
            </w:r>
          </w:p>
        </w:tc>
      </w:tr>
      <w:tr w:rsidR="00176331" w:rsidTr="008501A6">
        <w:tc>
          <w:tcPr>
            <w:tcW w:w="2255" w:type="dxa"/>
          </w:tcPr>
          <w:p w:rsidR="00176331" w:rsidRDefault="00176331" w:rsidP="00176331">
            <w:pPr>
              <w:jc w:val="both"/>
              <w:rPr>
                <w:rFonts w:cstheme="minorHAnsi"/>
              </w:rPr>
            </w:pPr>
          </w:p>
        </w:tc>
        <w:tc>
          <w:tcPr>
            <w:tcW w:w="2363" w:type="dxa"/>
            <w:tcBorders>
              <w:right w:val="single" w:sz="4" w:space="0" w:color="auto"/>
            </w:tcBorders>
          </w:tcPr>
          <w:p w:rsidR="00176331" w:rsidRDefault="00176331" w:rsidP="004C19A8">
            <w:pPr>
              <w:ind w:right="550"/>
              <w:jc w:val="right"/>
              <w:rPr>
                <w:rFonts w:cstheme="minorHAnsi"/>
              </w:rPr>
            </w:pPr>
          </w:p>
        </w:tc>
        <w:tc>
          <w:tcPr>
            <w:tcW w:w="2364" w:type="dxa"/>
            <w:tcBorders>
              <w:left w:val="single" w:sz="4" w:space="0" w:color="auto"/>
            </w:tcBorders>
          </w:tcPr>
          <w:p w:rsidR="00176331" w:rsidRDefault="004C19A8" w:rsidP="00176331">
            <w:pPr>
              <w:jc w:val="both"/>
              <w:rPr>
                <w:rFonts w:cstheme="minorHAnsi"/>
              </w:rPr>
            </w:pPr>
            <w:r w:rsidRPr="00726C39">
              <w:rPr>
                <w:rFonts w:cstheme="minorHAnsi"/>
              </w:rPr>
              <w:t>pohoštění</w:t>
            </w:r>
          </w:p>
        </w:tc>
        <w:tc>
          <w:tcPr>
            <w:tcW w:w="2364" w:type="dxa"/>
          </w:tcPr>
          <w:p w:rsidR="00176331" w:rsidRDefault="004C19A8" w:rsidP="004C19A8">
            <w:pPr>
              <w:ind w:right="508"/>
              <w:jc w:val="right"/>
              <w:rPr>
                <w:rFonts w:cstheme="minorHAnsi"/>
              </w:rPr>
            </w:pPr>
            <w:r w:rsidRPr="00726C39">
              <w:rPr>
                <w:rFonts w:cstheme="minorHAnsi"/>
              </w:rPr>
              <w:t>11 000</w:t>
            </w:r>
          </w:p>
        </w:tc>
      </w:tr>
      <w:tr w:rsidR="00176331" w:rsidTr="008501A6">
        <w:tc>
          <w:tcPr>
            <w:tcW w:w="2255" w:type="dxa"/>
          </w:tcPr>
          <w:p w:rsidR="00176331" w:rsidRDefault="00176331" w:rsidP="00176331">
            <w:pPr>
              <w:jc w:val="both"/>
              <w:rPr>
                <w:rFonts w:cstheme="minorHAnsi"/>
              </w:rPr>
            </w:pPr>
          </w:p>
        </w:tc>
        <w:tc>
          <w:tcPr>
            <w:tcW w:w="2363" w:type="dxa"/>
            <w:tcBorders>
              <w:right w:val="single" w:sz="4" w:space="0" w:color="auto"/>
            </w:tcBorders>
          </w:tcPr>
          <w:p w:rsidR="00176331" w:rsidRDefault="00176331" w:rsidP="004C19A8">
            <w:pPr>
              <w:ind w:right="550"/>
              <w:jc w:val="right"/>
              <w:rPr>
                <w:rFonts w:cstheme="minorHAnsi"/>
              </w:rPr>
            </w:pPr>
          </w:p>
        </w:tc>
        <w:tc>
          <w:tcPr>
            <w:tcW w:w="2364" w:type="dxa"/>
            <w:tcBorders>
              <w:left w:val="single" w:sz="4" w:space="0" w:color="auto"/>
            </w:tcBorders>
          </w:tcPr>
          <w:p w:rsidR="00176331" w:rsidRDefault="004C19A8" w:rsidP="00073E13">
            <w:pPr>
              <w:jc w:val="both"/>
              <w:rPr>
                <w:rFonts w:cstheme="minorHAnsi"/>
              </w:rPr>
            </w:pPr>
            <w:r w:rsidRPr="00726C39">
              <w:rPr>
                <w:rFonts w:cstheme="minorHAnsi"/>
              </w:rPr>
              <w:t>telekom</w:t>
            </w:r>
            <w:r w:rsidR="00073E13">
              <w:rPr>
                <w:rFonts w:cstheme="minorHAnsi"/>
              </w:rPr>
              <w:t>un</w:t>
            </w:r>
            <w:r w:rsidRPr="00726C39">
              <w:rPr>
                <w:rFonts w:cstheme="minorHAnsi"/>
              </w:rPr>
              <w:t>ikace</w:t>
            </w:r>
          </w:p>
        </w:tc>
        <w:tc>
          <w:tcPr>
            <w:tcW w:w="2364" w:type="dxa"/>
          </w:tcPr>
          <w:p w:rsidR="00176331" w:rsidRDefault="004C19A8" w:rsidP="004C19A8">
            <w:pPr>
              <w:ind w:right="508"/>
              <w:jc w:val="right"/>
              <w:rPr>
                <w:rFonts w:cstheme="minorHAnsi"/>
              </w:rPr>
            </w:pPr>
            <w:r w:rsidRPr="00726C39">
              <w:rPr>
                <w:rFonts w:cstheme="minorHAnsi"/>
              </w:rPr>
              <w:t>8 000</w:t>
            </w:r>
          </w:p>
        </w:tc>
      </w:tr>
      <w:tr w:rsidR="00176331" w:rsidTr="008501A6">
        <w:tc>
          <w:tcPr>
            <w:tcW w:w="2255" w:type="dxa"/>
          </w:tcPr>
          <w:p w:rsidR="00176331" w:rsidRDefault="00176331" w:rsidP="00176331">
            <w:pPr>
              <w:jc w:val="both"/>
              <w:rPr>
                <w:rFonts w:cstheme="minorHAnsi"/>
              </w:rPr>
            </w:pPr>
          </w:p>
        </w:tc>
        <w:tc>
          <w:tcPr>
            <w:tcW w:w="2363" w:type="dxa"/>
            <w:tcBorders>
              <w:right w:val="single" w:sz="4" w:space="0" w:color="auto"/>
            </w:tcBorders>
          </w:tcPr>
          <w:p w:rsidR="00176331" w:rsidRDefault="00176331" w:rsidP="004C19A8">
            <w:pPr>
              <w:ind w:right="550"/>
              <w:jc w:val="right"/>
              <w:rPr>
                <w:rFonts w:cstheme="minorHAnsi"/>
              </w:rPr>
            </w:pPr>
          </w:p>
        </w:tc>
        <w:tc>
          <w:tcPr>
            <w:tcW w:w="2364" w:type="dxa"/>
            <w:tcBorders>
              <w:left w:val="single" w:sz="4" w:space="0" w:color="auto"/>
            </w:tcBorders>
          </w:tcPr>
          <w:p w:rsidR="00176331" w:rsidRDefault="004C19A8" w:rsidP="00176331">
            <w:pPr>
              <w:jc w:val="both"/>
              <w:rPr>
                <w:rFonts w:cstheme="minorHAnsi"/>
              </w:rPr>
            </w:pPr>
            <w:r w:rsidRPr="00726C39">
              <w:rPr>
                <w:rFonts w:cstheme="minorHAnsi"/>
              </w:rPr>
              <w:t>nájemné</w:t>
            </w:r>
          </w:p>
        </w:tc>
        <w:tc>
          <w:tcPr>
            <w:tcW w:w="2364" w:type="dxa"/>
          </w:tcPr>
          <w:p w:rsidR="00176331" w:rsidRDefault="004C19A8" w:rsidP="004C19A8">
            <w:pPr>
              <w:ind w:right="508"/>
              <w:jc w:val="right"/>
              <w:rPr>
                <w:rFonts w:cstheme="minorHAnsi"/>
              </w:rPr>
            </w:pPr>
            <w:r w:rsidRPr="00726C39">
              <w:rPr>
                <w:rFonts w:cstheme="minorHAnsi"/>
              </w:rPr>
              <w:t>26 000</w:t>
            </w:r>
          </w:p>
        </w:tc>
      </w:tr>
      <w:tr w:rsidR="00176331" w:rsidTr="008501A6">
        <w:tc>
          <w:tcPr>
            <w:tcW w:w="2255" w:type="dxa"/>
          </w:tcPr>
          <w:p w:rsidR="00176331" w:rsidRDefault="00176331" w:rsidP="00176331">
            <w:pPr>
              <w:jc w:val="both"/>
              <w:rPr>
                <w:rFonts w:cstheme="minorHAnsi"/>
              </w:rPr>
            </w:pPr>
          </w:p>
        </w:tc>
        <w:tc>
          <w:tcPr>
            <w:tcW w:w="2363" w:type="dxa"/>
            <w:tcBorders>
              <w:right w:val="single" w:sz="4" w:space="0" w:color="auto"/>
            </w:tcBorders>
          </w:tcPr>
          <w:p w:rsidR="00176331" w:rsidRDefault="00176331" w:rsidP="004C19A8">
            <w:pPr>
              <w:ind w:right="550"/>
              <w:jc w:val="right"/>
              <w:rPr>
                <w:rFonts w:cstheme="minorHAnsi"/>
              </w:rPr>
            </w:pPr>
          </w:p>
        </w:tc>
        <w:tc>
          <w:tcPr>
            <w:tcW w:w="2364" w:type="dxa"/>
            <w:tcBorders>
              <w:left w:val="single" w:sz="4" w:space="0" w:color="auto"/>
            </w:tcBorders>
          </w:tcPr>
          <w:p w:rsidR="00176331" w:rsidRDefault="004C19A8" w:rsidP="00176331">
            <w:pPr>
              <w:jc w:val="both"/>
              <w:rPr>
                <w:rFonts w:cstheme="minorHAnsi"/>
              </w:rPr>
            </w:pPr>
            <w:r w:rsidRPr="00726C39">
              <w:rPr>
                <w:rFonts w:cstheme="minorHAnsi"/>
              </w:rPr>
              <w:t>ostatní služby</w:t>
            </w:r>
          </w:p>
        </w:tc>
        <w:tc>
          <w:tcPr>
            <w:tcW w:w="2364" w:type="dxa"/>
          </w:tcPr>
          <w:p w:rsidR="00176331" w:rsidRDefault="004C19A8" w:rsidP="004C19A8">
            <w:pPr>
              <w:ind w:right="508"/>
              <w:jc w:val="right"/>
              <w:rPr>
                <w:rFonts w:cstheme="minorHAnsi"/>
              </w:rPr>
            </w:pPr>
            <w:r w:rsidRPr="00726C39">
              <w:rPr>
                <w:rFonts w:cstheme="minorHAnsi"/>
              </w:rPr>
              <w:t>98 000</w:t>
            </w:r>
          </w:p>
        </w:tc>
      </w:tr>
      <w:tr w:rsidR="00176331" w:rsidTr="008501A6">
        <w:tc>
          <w:tcPr>
            <w:tcW w:w="2255" w:type="dxa"/>
          </w:tcPr>
          <w:p w:rsidR="00176331" w:rsidRDefault="00176331" w:rsidP="00176331">
            <w:pPr>
              <w:jc w:val="both"/>
              <w:rPr>
                <w:rFonts w:cstheme="minorHAnsi"/>
              </w:rPr>
            </w:pPr>
          </w:p>
        </w:tc>
        <w:tc>
          <w:tcPr>
            <w:tcW w:w="2363" w:type="dxa"/>
            <w:tcBorders>
              <w:right w:val="single" w:sz="4" w:space="0" w:color="auto"/>
            </w:tcBorders>
          </w:tcPr>
          <w:p w:rsidR="00176331" w:rsidRDefault="00176331" w:rsidP="004C19A8">
            <w:pPr>
              <w:ind w:right="550"/>
              <w:jc w:val="right"/>
              <w:rPr>
                <w:rFonts w:cstheme="minorHAnsi"/>
              </w:rPr>
            </w:pPr>
          </w:p>
        </w:tc>
        <w:tc>
          <w:tcPr>
            <w:tcW w:w="2364" w:type="dxa"/>
            <w:tcBorders>
              <w:left w:val="single" w:sz="4" w:space="0" w:color="auto"/>
            </w:tcBorders>
          </w:tcPr>
          <w:p w:rsidR="00176331" w:rsidRDefault="004C19A8" w:rsidP="00176331">
            <w:pPr>
              <w:jc w:val="both"/>
              <w:rPr>
                <w:rFonts w:cstheme="minorHAnsi"/>
              </w:rPr>
            </w:pPr>
            <w:r w:rsidRPr="00726C39">
              <w:rPr>
                <w:rFonts w:cstheme="minorHAnsi"/>
              </w:rPr>
              <w:t>ostatní náklady</w:t>
            </w:r>
          </w:p>
        </w:tc>
        <w:tc>
          <w:tcPr>
            <w:tcW w:w="2364" w:type="dxa"/>
          </w:tcPr>
          <w:p w:rsidR="00176331" w:rsidRDefault="004C19A8" w:rsidP="004C19A8">
            <w:pPr>
              <w:ind w:right="508"/>
              <w:jc w:val="right"/>
              <w:rPr>
                <w:rFonts w:cstheme="minorHAnsi"/>
              </w:rPr>
            </w:pPr>
            <w:r w:rsidRPr="00726C39">
              <w:rPr>
                <w:rFonts w:cstheme="minorHAnsi"/>
              </w:rPr>
              <w:t>30 000</w:t>
            </w:r>
          </w:p>
        </w:tc>
      </w:tr>
      <w:tr w:rsidR="00176331" w:rsidTr="008501A6">
        <w:tc>
          <w:tcPr>
            <w:tcW w:w="2255" w:type="dxa"/>
            <w:tcBorders>
              <w:bottom w:val="single" w:sz="4" w:space="0" w:color="auto"/>
            </w:tcBorders>
          </w:tcPr>
          <w:p w:rsidR="00176331" w:rsidRDefault="00176331" w:rsidP="00176331">
            <w:pPr>
              <w:jc w:val="both"/>
              <w:rPr>
                <w:rFonts w:cstheme="minorHAnsi"/>
              </w:rPr>
            </w:pPr>
          </w:p>
        </w:tc>
        <w:tc>
          <w:tcPr>
            <w:tcW w:w="2363" w:type="dxa"/>
            <w:tcBorders>
              <w:bottom w:val="single" w:sz="4" w:space="0" w:color="auto"/>
              <w:right w:val="single" w:sz="4" w:space="0" w:color="auto"/>
            </w:tcBorders>
          </w:tcPr>
          <w:p w:rsidR="00176331" w:rsidRDefault="00176331" w:rsidP="004C19A8">
            <w:pPr>
              <w:ind w:right="550"/>
              <w:jc w:val="right"/>
              <w:rPr>
                <w:rFonts w:cstheme="minorHAnsi"/>
              </w:rPr>
            </w:pPr>
          </w:p>
        </w:tc>
        <w:tc>
          <w:tcPr>
            <w:tcW w:w="2364" w:type="dxa"/>
            <w:tcBorders>
              <w:left w:val="single" w:sz="4" w:space="0" w:color="auto"/>
              <w:bottom w:val="single" w:sz="4" w:space="0" w:color="auto"/>
            </w:tcBorders>
          </w:tcPr>
          <w:p w:rsidR="00176331" w:rsidRDefault="001A2571" w:rsidP="00176331">
            <w:pPr>
              <w:jc w:val="both"/>
              <w:rPr>
                <w:rFonts w:cstheme="minorHAnsi"/>
              </w:rPr>
            </w:pPr>
            <w:r w:rsidRPr="00726C39">
              <w:rPr>
                <w:rFonts w:cstheme="minorHAnsi"/>
              </w:rPr>
              <w:t>O</w:t>
            </w:r>
            <w:r w:rsidR="004C19A8" w:rsidRPr="00726C39">
              <w:rPr>
                <w:rFonts w:cstheme="minorHAnsi"/>
              </w:rPr>
              <w:t>dpisy</w:t>
            </w:r>
            <w:r>
              <w:rPr>
                <w:rFonts w:cstheme="minorHAnsi"/>
              </w:rPr>
              <w:t>*</w:t>
            </w:r>
          </w:p>
        </w:tc>
        <w:tc>
          <w:tcPr>
            <w:tcW w:w="2364" w:type="dxa"/>
            <w:tcBorders>
              <w:bottom w:val="single" w:sz="4" w:space="0" w:color="auto"/>
            </w:tcBorders>
          </w:tcPr>
          <w:p w:rsidR="00176331" w:rsidRDefault="004C19A8" w:rsidP="004C19A8">
            <w:pPr>
              <w:ind w:right="508"/>
              <w:jc w:val="right"/>
              <w:rPr>
                <w:rFonts w:cstheme="minorHAnsi"/>
              </w:rPr>
            </w:pPr>
            <w:r w:rsidRPr="00726C39">
              <w:rPr>
                <w:rFonts w:cstheme="minorHAnsi"/>
              </w:rPr>
              <w:t>589 000</w:t>
            </w:r>
          </w:p>
        </w:tc>
      </w:tr>
      <w:tr w:rsidR="00176331" w:rsidTr="008501A6">
        <w:tc>
          <w:tcPr>
            <w:tcW w:w="2255" w:type="dxa"/>
            <w:tcBorders>
              <w:top w:val="single" w:sz="4" w:space="0" w:color="auto"/>
              <w:bottom w:val="single" w:sz="4" w:space="0" w:color="auto"/>
            </w:tcBorders>
          </w:tcPr>
          <w:p w:rsidR="00176331" w:rsidRDefault="008501A6" w:rsidP="00176331">
            <w:pPr>
              <w:jc w:val="both"/>
              <w:rPr>
                <w:rFonts w:cstheme="minorHAnsi"/>
              </w:rPr>
            </w:pPr>
            <w:r>
              <w:rPr>
                <w:rFonts w:cstheme="minorHAnsi"/>
              </w:rPr>
              <w:t>Výnosy celkem</w:t>
            </w:r>
          </w:p>
        </w:tc>
        <w:tc>
          <w:tcPr>
            <w:tcW w:w="2363" w:type="dxa"/>
            <w:tcBorders>
              <w:top w:val="single" w:sz="4" w:space="0" w:color="auto"/>
              <w:bottom w:val="single" w:sz="4" w:space="0" w:color="auto"/>
              <w:right w:val="single" w:sz="4" w:space="0" w:color="auto"/>
            </w:tcBorders>
          </w:tcPr>
          <w:p w:rsidR="00176331" w:rsidRDefault="008501A6" w:rsidP="004C19A8">
            <w:pPr>
              <w:ind w:right="550"/>
              <w:jc w:val="right"/>
              <w:rPr>
                <w:rFonts w:cstheme="minorHAnsi"/>
              </w:rPr>
            </w:pPr>
            <w:r w:rsidRPr="00726C39">
              <w:rPr>
                <w:rFonts w:cstheme="minorHAnsi"/>
              </w:rPr>
              <w:t>1 383 000</w:t>
            </w:r>
          </w:p>
        </w:tc>
        <w:tc>
          <w:tcPr>
            <w:tcW w:w="2364" w:type="dxa"/>
            <w:tcBorders>
              <w:top w:val="single" w:sz="4" w:space="0" w:color="auto"/>
              <w:left w:val="single" w:sz="4" w:space="0" w:color="auto"/>
              <w:bottom w:val="single" w:sz="4" w:space="0" w:color="auto"/>
            </w:tcBorders>
          </w:tcPr>
          <w:p w:rsidR="00176331" w:rsidRDefault="008501A6" w:rsidP="00176331">
            <w:pPr>
              <w:jc w:val="both"/>
              <w:rPr>
                <w:rFonts w:cstheme="minorHAnsi"/>
              </w:rPr>
            </w:pPr>
            <w:r>
              <w:rPr>
                <w:rFonts w:cstheme="minorHAnsi"/>
              </w:rPr>
              <w:t>Náklady celkem</w:t>
            </w:r>
          </w:p>
        </w:tc>
        <w:tc>
          <w:tcPr>
            <w:tcW w:w="2364" w:type="dxa"/>
            <w:tcBorders>
              <w:top w:val="single" w:sz="4" w:space="0" w:color="auto"/>
              <w:bottom w:val="single" w:sz="4" w:space="0" w:color="auto"/>
            </w:tcBorders>
          </w:tcPr>
          <w:p w:rsidR="00176331" w:rsidRDefault="008501A6" w:rsidP="004C19A8">
            <w:pPr>
              <w:ind w:right="508"/>
              <w:jc w:val="right"/>
              <w:rPr>
                <w:rFonts w:cstheme="minorHAnsi"/>
              </w:rPr>
            </w:pPr>
            <w:r w:rsidRPr="00726C39">
              <w:rPr>
                <w:rFonts w:cstheme="minorHAnsi"/>
              </w:rPr>
              <w:t>1 571 000</w:t>
            </w:r>
          </w:p>
        </w:tc>
      </w:tr>
    </w:tbl>
    <w:p w:rsidR="00E6258B" w:rsidRDefault="00E6258B" w:rsidP="00726C39">
      <w:pPr>
        <w:spacing w:before="120" w:after="0" w:line="240" w:lineRule="auto"/>
        <w:jc w:val="both"/>
        <w:rPr>
          <w:rFonts w:cstheme="minorHAnsi"/>
        </w:rPr>
      </w:pPr>
      <w:r>
        <w:rPr>
          <w:rFonts w:cstheme="minorHAnsi"/>
        </w:rPr>
        <w:t xml:space="preserve">* Odpisy vyjadřují výši opotřebení dlouhodobého majetku. </w:t>
      </w:r>
      <w:r w:rsidR="007074DF">
        <w:rPr>
          <w:rFonts w:cstheme="minorHAnsi"/>
        </w:rPr>
        <w:t>Ř</w:t>
      </w:r>
      <w:r>
        <w:rPr>
          <w:rFonts w:cstheme="minorHAnsi"/>
        </w:rPr>
        <w:t>íkají</w:t>
      </w:r>
      <w:r w:rsidR="007074DF">
        <w:rPr>
          <w:rFonts w:cstheme="minorHAnsi"/>
        </w:rPr>
        <w:t xml:space="preserve"> nám tedy</w:t>
      </w:r>
      <w:r>
        <w:rPr>
          <w:rFonts w:cstheme="minorHAnsi"/>
        </w:rPr>
        <w:t>, kolik peněz bychom si měli dát stranou na to, až bude třeba majetek v</w:t>
      </w:r>
      <w:r w:rsidR="007074DF">
        <w:rPr>
          <w:rFonts w:cstheme="minorHAnsi"/>
        </w:rPr>
        <w:t> </w:t>
      </w:r>
      <w:r>
        <w:rPr>
          <w:rFonts w:cstheme="minorHAnsi"/>
        </w:rPr>
        <w:t>budoucnu</w:t>
      </w:r>
      <w:r w:rsidR="007074DF">
        <w:rPr>
          <w:rFonts w:cstheme="minorHAnsi"/>
        </w:rPr>
        <w:t xml:space="preserve"> </w:t>
      </w:r>
      <w:r>
        <w:rPr>
          <w:rFonts w:cstheme="minorHAnsi"/>
        </w:rPr>
        <w:t>obnovit.</w:t>
      </w:r>
    </w:p>
    <w:p w:rsidR="00073E13" w:rsidRDefault="00073E13" w:rsidP="00726C39">
      <w:pPr>
        <w:spacing w:before="120" w:after="0" w:line="240" w:lineRule="auto"/>
        <w:jc w:val="both"/>
        <w:rPr>
          <w:rFonts w:cstheme="minorHAnsi"/>
        </w:rPr>
      </w:pPr>
      <w:r>
        <w:rPr>
          <w:rFonts w:cstheme="minorHAnsi"/>
        </w:rPr>
        <w:t>Hospodářský výsledek bez odpisů:</w:t>
      </w:r>
      <w:r>
        <w:rPr>
          <w:rFonts w:cstheme="minorHAnsi"/>
        </w:rPr>
        <w:tab/>
      </w:r>
      <w:r>
        <w:rPr>
          <w:rFonts w:cstheme="minorHAnsi"/>
        </w:rPr>
        <w:tab/>
        <w:t xml:space="preserve">  401 000 Kč</w:t>
      </w:r>
    </w:p>
    <w:p w:rsidR="00C17C49" w:rsidRPr="00726C39" w:rsidRDefault="008501A6" w:rsidP="007074DF">
      <w:pPr>
        <w:spacing w:after="0" w:line="240" w:lineRule="auto"/>
        <w:jc w:val="both"/>
        <w:rPr>
          <w:rFonts w:cstheme="minorHAnsi"/>
        </w:rPr>
      </w:pPr>
      <w:r>
        <w:rPr>
          <w:rFonts w:cstheme="minorHAnsi"/>
        </w:rPr>
        <w:t>H</w:t>
      </w:r>
      <w:r w:rsidR="00C17C49" w:rsidRPr="00726C39">
        <w:rPr>
          <w:rFonts w:cstheme="minorHAnsi"/>
        </w:rPr>
        <w:t>ospodářský výsledek po započtení odpisů</w:t>
      </w:r>
      <w:r w:rsidR="00EA5C3D" w:rsidRPr="00726C39">
        <w:rPr>
          <w:rFonts w:cstheme="minorHAnsi"/>
        </w:rPr>
        <w:t>:</w:t>
      </w:r>
      <w:r w:rsidR="00073E13">
        <w:rPr>
          <w:rFonts w:cstheme="minorHAnsi"/>
        </w:rPr>
        <w:tab/>
      </w:r>
      <w:r w:rsidR="007074DF">
        <w:rPr>
          <w:rFonts w:cstheme="minorHAnsi"/>
        </w:rPr>
        <w:t>-</w:t>
      </w:r>
      <w:r w:rsidR="00EA5C3D" w:rsidRPr="00726C39">
        <w:rPr>
          <w:rFonts w:cstheme="minorHAnsi"/>
        </w:rPr>
        <w:t>188 000 Kč</w:t>
      </w:r>
      <w:r w:rsidR="00073E13">
        <w:rPr>
          <w:rFonts w:cstheme="minorHAnsi"/>
        </w:rPr>
        <w:t xml:space="preserve"> </w:t>
      </w:r>
    </w:p>
    <w:p w:rsidR="00FF1EF0" w:rsidRPr="00170DDB" w:rsidRDefault="00FF1EF0" w:rsidP="00170DDB">
      <w:pPr>
        <w:spacing w:before="360" w:after="120" w:line="240" w:lineRule="auto"/>
        <w:jc w:val="both"/>
        <w:rPr>
          <w:rFonts w:cstheme="minorHAnsi"/>
          <w:b/>
        </w:rPr>
      </w:pPr>
      <w:r w:rsidRPr="00170DDB">
        <w:rPr>
          <w:rFonts w:cstheme="minorHAnsi"/>
          <w:b/>
        </w:rPr>
        <w:t>Rozvržení plátců saláru v</w:t>
      </w:r>
      <w:r w:rsidR="00073E13" w:rsidRPr="00170DDB">
        <w:rPr>
          <w:rFonts w:cstheme="minorHAnsi"/>
          <w:b/>
        </w:rPr>
        <w:t> </w:t>
      </w:r>
      <w:r w:rsidRPr="00170DDB">
        <w:rPr>
          <w:rFonts w:cstheme="minorHAnsi"/>
          <w:b/>
        </w:rPr>
        <w:t>klimentském</w:t>
      </w:r>
      <w:r w:rsidR="00073E13" w:rsidRPr="00170DDB">
        <w:rPr>
          <w:rFonts w:cstheme="minorHAnsi"/>
          <w:b/>
        </w:rPr>
        <w:t xml:space="preserve"> </w:t>
      </w:r>
      <w:r w:rsidRPr="00170DDB">
        <w:rPr>
          <w:rFonts w:cstheme="minorHAnsi"/>
          <w:b/>
        </w:rPr>
        <w:t>sboru v</w:t>
      </w:r>
      <w:r w:rsidR="00073E13" w:rsidRPr="00170DDB">
        <w:rPr>
          <w:rFonts w:cstheme="minorHAnsi"/>
          <w:b/>
        </w:rPr>
        <w:t> </w:t>
      </w:r>
      <w:r w:rsidRPr="00170DDB">
        <w:rPr>
          <w:rFonts w:cstheme="minorHAnsi"/>
          <w:b/>
        </w:rPr>
        <w:t>roce</w:t>
      </w:r>
      <w:r w:rsidR="00073E13" w:rsidRPr="00170DDB">
        <w:rPr>
          <w:rFonts w:cstheme="minorHAnsi"/>
          <w:b/>
        </w:rPr>
        <w:t xml:space="preserve"> </w:t>
      </w:r>
      <w:r w:rsidRPr="00170DDB">
        <w:rPr>
          <w:rFonts w:cstheme="minorHAnsi"/>
          <w:b/>
        </w:rPr>
        <w:t>2018</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900"/>
      </w:tblGrid>
      <w:tr w:rsidR="00073E13" w:rsidRPr="00726C39" w:rsidTr="00170DDB">
        <w:tc>
          <w:tcPr>
            <w:tcW w:w="2430" w:type="dxa"/>
            <w:tcBorders>
              <w:top w:val="single" w:sz="4" w:space="0" w:color="auto"/>
            </w:tcBorders>
          </w:tcPr>
          <w:p w:rsidR="00073E13" w:rsidRPr="00073E13" w:rsidRDefault="00F37BEF" w:rsidP="00170DDB">
            <w:pPr>
              <w:tabs>
                <w:tab w:val="left" w:pos="1872"/>
              </w:tabs>
              <w:ind w:right="346"/>
              <w:rPr>
                <w:rFonts w:cstheme="minorHAnsi"/>
              </w:rPr>
            </w:pPr>
            <w:r>
              <w:rPr>
                <w:rFonts w:cstheme="minorHAnsi"/>
              </w:rPr>
              <w:t xml:space="preserve">do </w:t>
            </w:r>
            <w:r w:rsidR="00371295">
              <w:rPr>
                <w:rFonts w:cstheme="minorHAnsi"/>
              </w:rPr>
              <w:t>500</w:t>
            </w:r>
            <w:r w:rsidR="00073E13">
              <w:rPr>
                <w:rFonts w:cstheme="minorHAnsi"/>
              </w:rPr>
              <w:t xml:space="preserve"> Kč</w:t>
            </w:r>
          </w:p>
        </w:tc>
        <w:tc>
          <w:tcPr>
            <w:tcW w:w="900" w:type="dxa"/>
            <w:tcBorders>
              <w:top w:val="single" w:sz="4" w:space="0" w:color="auto"/>
            </w:tcBorders>
          </w:tcPr>
          <w:p w:rsidR="00371295" w:rsidRPr="00726C39" w:rsidRDefault="00371295" w:rsidP="00170DDB">
            <w:pPr>
              <w:jc w:val="right"/>
              <w:rPr>
                <w:rFonts w:cstheme="minorHAnsi"/>
              </w:rPr>
            </w:pPr>
            <w:r>
              <w:rPr>
                <w:rFonts w:cstheme="minorHAnsi"/>
              </w:rPr>
              <w:t>11</w:t>
            </w:r>
          </w:p>
        </w:tc>
      </w:tr>
      <w:tr w:rsidR="00371295" w:rsidRPr="00726C39" w:rsidTr="00170DDB">
        <w:tc>
          <w:tcPr>
            <w:tcW w:w="2430" w:type="dxa"/>
          </w:tcPr>
          <w:p w:rsidR="00371295" w:rsidRDefault="00371295" w:rsidP="00F37BEF">
            <w:pPr>
              <w:tabs>
                <w:tab w:val="left" w:pos="1872"/>
              </w:tabs>
              <w:ind w:right="342"/>
              <w:rPr>
                <w:rFonts w:cstheme="minorHAnsi"/>
              </w:rPr>
            </w:pPr>
            <w:r>
              <w:rPr>
                <w:rFonts w:cstheme="minorHAnsi"/>
              </w:rPr>
              <w:t>501 –</w:t>
            </w:r>
            <w:r w:rsidRPr="00726C39">
              <w:rPr>
                <w:rFonts w:cstheme="minorHAnsi"/>
              </w:rPr>
              <w:t xml:space="preserve"> </w:t>
            </w:r>
            <w:r>
              <w:rPr>
                <w:rFonts w:cstheme="minorHAnsi"/>
              </w:rPr>
              <w:t>1</w:t>
            </w:r>
            <w:r w:rsidR="00F37BEF">
              <w:rPr>
                <w:rFonts w:cstheme="minorHAnsi"/>
              </w:rPr>
              <w:t xml:space="preserve"> </w:t>
            </w:r>
            <w:r>
              <w:rPr>
                <w:rFonts w:cstheme="minorHAnsi"/>
              </w:rPr>
              <w:t>000 Kč</w:t>
            </w:r>
          </w:p>
        </w:tc>
        <w:tc>
          <w:tcPr>
            <w:tcW w:w="900" w:type="dxa"/>
          </w:tcPr>
          <w:p w:rsidR="00371295" w:rsidRPr="00726C39" w:rsidRDefault="00371295" w:rsidP="008457B0">
            <w:pPr>
              <w:jc w:val="right"/>
              <w:rPr>
                <w:rFonts w:cstheme="minorHAnsi"/>
              </w:rPr>
            </w:pPr>
            <w:r>
              <w:rPr>
                <w:rFonts w:cstheme="minorHAnsi"/>
              </w:rPr>
              <w:t>14</w:t>
            </w:r>
          </w:p>
        </w:tc>
      </w:tr>
      <w:tr w:rsidR="00073E13" w:rsidRPr="00726C39" w:rsidTr="00170DDB">
        <w:tc>
          <w:tcPr>
            <w:tcW w:w="2430" w:type="dxa"/>
          </w:tcPr>
          <w:p w:rsidR="00073E13" w:rsidRDefault="00073E13" w:rsidP="00CE3201">
            <w:pPr>
              <w:tabs>
                <w:tab w:val="left" w:pos="1872"/>
              </w:tabs>
              <w:ind w:right="342"/>
              <w:rPr>
                <w:rFonts w:cstheme="minorHAnsi"/>
              </w:rPr>
            </w:pPr>
            <w:r>
              <w:rPr>
                <w:rFonts w:cstheme="minorHAnsi"/>
              </w:rPr>
              <w:t>1</w:t>
            </w:r>
            <w:r w:rsidR="00F37BEF">
              <w:rPr>
                <w:rFonts w:cstheme="minorHAnsi"/>
              </w:rPr>
              <w:t xml:space="preserve"> </w:t>
            </w:r>
            <w:r>
              <w:rPr>
                <w:rFonts w:cstheme="minorHAnsi"/>
              </w:rPr>
              <w:t>001 – 3</w:t>
            </w:r>
            <w:r w:rsidR="00F37BEF">
              <w:rPr>
                <w:rFonts w:cstheme="minorHAnsi"/>
              </w:rPr>
              <w:t xml:space="preserve"> </w:t>
            </w:r>
            <w:r>
              <w:rPr>
                <w:rFonts w:cstheme="minorHAnsi"/>
              </w:rPr>
              <w:t>000 Kč</w:t>
            </w:r>
          </w:p>
        </w:tc>
        <w:tc>
          <w:tcPr>
            <w:tcW w:w="900" w:type="dxa"/>
          </w:tcPr>
          <w:p w:rsidR="00073E13" w:rsidRPr="00726C39" w:rsidRDefault="00073E13" w:rsidP="008457B0">
            <w:pPr>
              <w:jc w:val="right"/>
              <w:rPr>
                <w:rFonts w:cstheme="minorHAnsi"/>
              </w:rPr>
            </w:pPr>
            <w:r w:rsidRPr="00726C39">
              <w:rPr>
                <w:rFonts w:cstheme="minorHAnsi"/>
              </w:rPr>
              <w:t>26</w:t>
            </w:r>
          </w:p>
        </w:tc>
      </w:tr>
      <w:tr w:rsidR="00073E13" w:rsidRPr="00726C39" w:rsidTr="00170DDB">
        <w:tc>
          <w:tcPr>
            <w:tcW w:w="2430" w:type="dxa"/>
          </w:tcPr>
          <w:p w:rsidR="00073E13" w:rsidRDefault="00073E13" w:rsidP="00F37BEF">
            <w:pPr>
              <w:tabs>
                <w:tab w:val="left" w:pos="1872"/>
              </w:tabs>
              <w:ind w:right="342"/>
              <w:rPr>
                <w:rFonts w:cstheme="minorHAnsi"/>
              </w:rPr>
            </w:pPr>
            <w:r>
              <w:rPr>
                <w:rFonts w:cstheme="minorHAnsi"/>
              </w:rPr>
              <w:t>3</w:t>
            </w:r>
            <w:r w:rsidR="00F37BEF">
              <w:rPr>
                <w:rFonts w:cstheme="minorHAnsi"/>
              </w:rPr>
              <w:t xml:space="preserve"> </w:t>
            </w:r>
            <w:r>
              <w:rPr>
                <w:rFonts w:cstheme="minorHAnsi"/>
              </w:rPr>
              <w:t>001 – 5</w:t>
            </w:r>
            <w:r w:rsidR="00F37BEF">
              <w:rPr>
                <w:rFonts w:cstheme="minorHAnsi"/>
              </w:rPr>
              <w:t xml:space="preserve"> </w:t>
            </w:r>
            <w:r>
              <w:rPr>
                <w:rFonts w:cstheme="minorHAnsi"/>
              </w:rPr>
              <w:t>000 Kč</w:t>
            </w:r>
          </w:p>
        </w:tc>
        <w:tc>
          <w:tcPr>
            <w:tcW w:w="900" w:type="dxa"/>
          </w:tcPr>
          <w:p w:rsidR="00073E13" w:rsidRPr="00726C39" w:rsidRDefault="00073E13" w:rsidP="008457B0">
            <w:pPr>
              <w:jc w:val="right"/>
              <w:rPr>
                <w:rFonts w:cstheme="minorHAnsi"/>
              </w:rPr>
            </w:pPr>
            <w:r w:rsidRPr="00726C39">
              <w:rPr>
                <w:rFonts w:cstheme="minorHAnsi"/>
              </w:rPr>
              <w:t>8</w:t>
            </w:r>
          </w:p>
        </w:tc>
      </w:tr>
      <w:tr w:rsidR="00073E13" w:rsidRPr="00726C39" w:rsidTr="00170DDB">
        <w:tc>
          <w:tcPr>
            <w:tcW w:w="2430" w:type="dxa"/>
          </w:tcPr>
          <w:p w:rsidR="00073E13" w:rsidRDefault="00BF7FC3" w:rsidP="00CE3201">
            <w:pPr>
              <w:tabs>
                <w:tab w:val="left" w:pos="1872"/>
              </w:tabs>
              <w:ind w:right="342"/>
              <w:rPr>
                <w:rFonts w:cstheme="minorHAnsi"/>
              </w:rPr>
            </w:pPr>
            <w:r w:rsidRPr="00726C39">
              <w:rPr>
                <w:rFonts w:cstheme="minorHAnsi"/>
              </w:rPr>
              <w:t>5</w:t>
            </w:r>
            <w:r w:rsidR="00F37BEF">
              <w:rPr>
                <w:rFonts w:cstheme="minorHAnsi"/>
              </w:rPr>
              <w:t xml:space="preserve"> </w:t>
            </w:r>
            <w:r w:rsidRPr="00726C39">
              <w:rPr>
                <w:rFonts w:cstheme="minorHAnsi"/>
              </w:rPr>
              <w:t xml:space="preserve">001 </w:t>
            </w:r>
            <w:r>
              <w:rPr>
                <w:rFonts w:cstheme="minorHAnsi"/>
              </w:rPr>
              <w:t>–</w:t>
            </w:r>
            <w:r w:rsidRPr="00726C39">
              <w:rPr>
                <w:rFonts w:cstheme="minorHAnsi"/>
              </w:rPr>
              <w:t xml:space="preserve"> 10</w:t>
            </w:r>
            <w:r w:rsidR="00F37BEF">
              <w:rPr>
                <w:rFonts w:cstheme="minorHAnsi"/>
              </w:rPr>
              <w:t xml:space="preserve"> </w:t>
            </w:r>
            <w:r w:rsidRPr="00726C39">
              <w:rPr>
                <w:rFonts w:cstheme="minorHAnsi"/>
              </w:rPr>
              <w:t>000 Kč</w:t>
            </w:r>
          </w:p>
        </w:tc>
        <w:tc>
          <w:tcPr>
            <w:tcW w:w="900" w:type="dxa"/>
          </w:tcPr>
          <w:p w:rsidR="00073E13" w:rsidRPr="00726C39" w:rsidRDefault="00BF7FC3" w:rsidP="008457B0">
            <w:pPr>
              <w:jc w:val="right"/>
              <w:rPr>
                <w:rFonts w:cstheme="minorHAnsi"/>
              </w:rPr>
            </w:pPr>
            <w:r w:rsidRPr="00726C39">
              <w:rPr>
                <w:rFonts w:cstheme="minorHAnsi"/>
              </w:rPr>
              <w:t>16</w:t>
            </w:r>
          </w:p>
        </w:tc>
      </w:tr>
      <w:tr w:rsidR="00073E13" w:rsidRPr="00726C39" w:rsidTr="00170DDB">
        <w:tc>
          <w:tcPr>
            <w:tcW w:w="2430" w:type="dxa"/>
          </w:tcPr>
          <w:p w:rsidR="00073E13" w:rsidRDefault="00BF7FC3" w:rsidP="00CE3201">
            <w:pPr>
              <w:tabs>
                <w:tab w:val="left" w:pos="1872"/>
              </w:tabs>
              <w:ind w:right="342"/>
              <w:rPr>
                <w:rFonts w:cstheme="minorHAnsi"/>
              </w:rPr>
            </w:pPr>
            <w:r w:rsidRPr="00726C39">
              <w:rPr>
                <w:rFonts w:cstheme="minorHAnsi"/>
              </w:rPr>
              <w:t>10</w:t>
            </w:r>
            <w:r w:rsidR="00F37BEF">
              <w:rPr>
                <w:rFonts w:cstheme="minorHAnsi"/>
              </w:rPr>
              <w:t xml:space="preserve"> </w:t>
            </w:r>
            <w:r w:rsidRPr="00726C39">
              <w:rPr>
                <w:rFonts w:cstheme="minorHAnsi"/>
              </w:rPr>
              <w:t xml:space="preserve">001 </w:t>
            </w:r>
            <w:r>
              <w:rPr>
                <w:rFonts w:cstheme="minorHAnsi"/>
              </w:rPr>
              <w:t>–</w:t>
            </w:r>
            <w:r w:rsidRPr="00726C39">
              <w:rPr>
                <w:rFonts w:cstheme="minorHAnsi"/>
              </w:rPr>
              <w:t xml:space="preserve"> 20</w:t>
            </w:r>
            <w:r w:rsidR="00F37BEF">
              <w:rPr>
                <w:rFonts w:cstheme="minorHAnsi"/>
              </w:rPr>
              <w:t xml:space="preserve"> </w:t>
            </w:r>
            <w:r w:rsidRPr="00726C39">
              <w:rPr>
                <w:rFonts w:cstheme="minorHAnsi"/>
              </w:rPr>
              <w:t>000 Kč</w:t>
            </w:r>
          </w:p>
        </w:tc>
        <w:tc>
          <w:tcPr>
            <w:tcW w:w="900" w:type="dxa"/>
          </w:tcPr>
          <w:p w:rsidR="00073E13" w:rsidRPr="00726C39" w:rsidRDefault="00BF7FC3" w:rsidP="008457B0">
            <w:pPr>
              <w:jc w:val="right"/>
              <w:rPr>
                <w:rFonts w:cstheme="minorHAnsi"/>
              </w:rPr>
            </w:pPr>
            <w:r>
              <w:rPr>
                <w:rFonts w:cstheme="minorHAnsi"/>
              </w:rPr>
              <w:t>8</w:t>
            </w:r>
          </w:p>
        </w:tc>
      </w:tr>
      <w:tr w:rsidR="00073E13" w:rsidRPr="00726C39" w:rsidTr="00170DDB">
        <w:tc>
          <w:tcPr>
            <w:tcW w:w="2430" w:type="dxa"/>
            <w:tcBorders>
              <w:bottom w:val="single" w:sz="4" w:space="0" w:color="auto"/>
            </w:tcBorders>
          </w:tcPr>
          <w:p w:rsidR="00073E13" w:rsidRDefault="00BF7FC3" w:rsidP="00CE3201">
            <w:pPr>
              <w:tabs>
                <w:tab w:val="left" w:pos="1872"/>
              </w:tabs>
              <w:ind w:right="342"/>
              <w:rPr>
                <w:rFonts w:cstheme="minorHAnsi"/>
              </w:rPr>
            </w:pPr>
            <w:r w:rsidRPr="00726C39">
              <w:rPr>
                <w:rFonts w:cstheme="minorHAnsi"/>
              </w:rPr>
              <w:t xml:space="preserve">více než </w:t>
            </w:r>
            <w:r w:rsidR="00371295">
              <w:rPr>
                <w:rFonts w:cstheme="minorHAnsi"/>
              </w:rPr>
              <w:t>2</w:t>
            </w:r>
            <w:r w:rsidRPr="00726C39">
              <w:rPr>
                <w:rFonts w:cstheme="minorHAnsi"/>
              </w:rPr>
              <w:t>0</w:t>
            </w:r>
            <w:r w:rsidR="00F37BEF">
              <w:rPr>
                <w:rFonts w:cstheme="minorHAnsi"/>
              </w:rPr>
              <w:t xml:space="preserve"> </w:t>
            </w:r>
            <w:r w:rsidRPr="00726C39">
              <w:rPr>
                <w:rFonts w:cstheme="minorHAnsi"/>
              </w:rPr>
              <w:t>000 Kč</w:t>
            </w:r>
          </w:p>
        </w:tc>
        <w:tc>
          <w:tcPr>
            <w:tcW w:w="900" w:type="dxa"/>
            <w:tcBorders>
              <w:bottom w:val="single" w:sz="4" w:space="0" w:color="auto"/>
            </w:tcBorders>
          </w:tcPr>
          <w:p w:rsidR="00073E13" w:rsidRPr="00726C39" w:rsidRDefault="00BF7FC3" w:rsidP="008457B0">
            <w:pPr>
              <w:jc w:val="right"/>
              <w:rPr>
                <w:rFonts w:cstheme="minorHAnsi"/>
              </w:rPr>
            </w:pPr>
            <w:r>
              <w:rPr>
                <w:rFonts w:cstheme="minorHAnsi"/>
              </w:rPr>
              <w:t>1</w:t>
            </w:r>
          </w:p>
        </w:tc>
      </w:tr>
      <w:tr w:rsidR="00170DDB" w:rsidRPr="00726C39" w:rsidTr="00170DDB">
        <w:tc>
          <w:tcPr>
            <w:tcW w:w="2430" w:type="dxa"/>
            <w:tcBorders>
              <w:bottom w:val="single" w:sz="4" w:space="0" w:color="auto"/>
            </w:tcBorders>
          </w:tcPr>
          <w:p w:rsidR="00170DDB" w:rsidRPr="00726C39" w:rsidRDefault="00170DDB" w:rsidP="00CE3201">
            <w:pPr>
              <w:tabs>
                <w:tab w:val="left" w:pos="1872"/>
              </w:tabs>
              <w:ind w:right="342"/>
              <w:rPr>
                <w:rFonts w:cstheme="minorHAnsi"/>
              </w:rPr>
            </w:pPr>
            <w:r>
              <w:rPr>
                <w:rFonts w:cstheme="minorHAnsi"/>
              </w:rPr>
              <w:t>celkem</w:t>
            </w:r>
          </w:p>
        </w:tc>
        <w:tc>
          <w:tcPr>
            <w:tcW w:w="900" w:type="dxa"/>
            <w:tcBorders>
              <w:bottom w:val="single" w:sz="4" w:space="0" w:color="auto"/>
            </w:tcBorders>
          </w:tcPr>
          <w:p w:rsidR="00170DDB" w:rsidRDefault="00170DDB" w:rsidP="008457B0">
            <w:pPr>
              <w:jc w:val="right"/>
              <w:rPr>
                <w:rFonts w:cstheme="minorHAnsi"/>
              </w:rPr>
            </w:pPr>
            <w:r>
              <w:rPr>
                <w:rFonts w:cstheme="minorHAnsi"/>
              </w:rPr>
              <w:t>84</w:t>
            </w:r>
          </w:p>
        </w:tc>
      </w:tr>
    </w:tbl>
    <w:p w:rsidR="00FF1EF0" w:rsidRDefault="00FF1EF0" w:rsidP="00BF7FC3">
      <w:pPr>
        <w:spacing w:before="120" w:after="0" w:line="240" w:lineRule="auto"/>
        <w:jc w:val="both"/>
        <w:rPr>
          <w:rFonts w:eastAsia="Times New Roman" w:cstheme="minorHAnsi"/>
        </w:rPr>
      </w:pPr>
    </w:p>
    <w:sectPr w:rsidR="00FF1EF0" w:rsidSect="00270134">
      <w:pgSz w:w="11906" w:h="16838"/>
      <w:pgMar w:top="1296" w:right="1296" w:bottom="1296" w:left="129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73" w:rsidRDefault="003F0B73" w:rsidP="00FF1EF0">
      <w:pPr>
        <w:spacing w:after="0" w:line="240" w:lineRule="auto"/>
      </w:pPr>
      <w:r>
        <w:separator/>
      </w:r>
    </w:p>
  </w:endnote>
  <w:endnote w:type="continuationSeparator" w:id="0">
    <w:p w:rsidR="003F0B73" w:rsidRDefault="003F0B73" w:rsidP="00FF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73" w:rsidRDefault="003F0B73" w:rsidP="00FF1EF0">
      <w:pPr>
        <w:spacing w:after="0" w:line="240" w:lineRule="auto"/>
      </w:pPr>
      <w:r>
        <w:separator/>
      </w:r>
    </w:p>
  </w:footnote>
  <w:footnote w:type="continuationSeparator" w:id="0">
    <w:p w:rsidR="003F0B73" w:rsidRDefault="003F0B73" w:rsidP="00FF1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E91"/>
    <w:multiLevelType w:val="hybridMultilevel"/>
    <w:tmpl w:val="42229A88"/>
    <w:lvl w:ilvl="0" w:tplc="6BDA0E0C">
      <w:start w:val="1"/>
      <w:numFmt w:val="decimal"/>
      <w:lvlText w:val="%1)"/>
      <w:lvlJc w:val="left"/>
      <w:pPr>
        <w:ind w:left="744" w:hanging="3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DA4496"/>
    <w:multiLevelType w:val="hybridMultilevel"/>
    <w:tmpl w:val="DA62855A"/>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AD5597"/>
    <w:multiLevelType w:val="hybridMultilevel"/>
    <w:tmpl w:val="7C78A960"/>
    <w:lvl w:ilvl="0" w:tplc="5C3276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9424D43"/>
    <w:multiLevelType w:val="hybridMultilevel"/>
    <w:tmpl w:val="924C0452"/>
    <w:lvl w:ilvl="0" w:tplc="5C3276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B5C22D9"/>
    <w:multiLevelType w:val="hybridMultilevel"/>
    <w:tmpl w:val="4CAE3160"/>
    <w:lvl w:ilvl="0" w:tplc="0409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D9"/>
    <w:rsid w:val="00073E13"/>
    <w:rsid w:val="0011339E"/>
    <w:rsid w:val="001530F9"/>
    <w:rsid w:val="00170DDB"/>
    <w:rsid w:val="00176331"/>
    <w:rsid w:val="001A2571"/>
    <w:rsid w:val="0024492B"/>
    <w:rsid w:val="00270134"/>
    <w:rsid w:val="002B1174"/>
    <w:rsid w:val="002C35E7"/>
    <w:rsid w:val="0034564A"/>
    <w:rsid w:val="00371295"/>
    <w:rsid w:val="00374BDE"/>
    <w:rsid w:val="003A06F6"/>
    <w:rsid w:val="003A23E5"/>
    <w:rsid w:val="003D0B7C"/>
    <w:rsid w:val="003E2CFB"/>
    <w:rsid w:val="003F0B73"/>
    <w:rsid w:val="003F25AD"/>
    <w:rsid w:val="004C19A8"/>
    <w:rsid w:val="004E5E1B"/>
    <w:rsid w:val="00565629"/>
    <w:rsid w:val="00567C24"/>
    <w:rsid w:val="00587EA4"/>
    <w:rsid w:val="00646C40"/>
    <w:rsid w:val="0069137F"/>
    <w:rsid w:val="00695602"/>
    <w:rsid w:val="007074DF"/>
    <w:rsid w:val="00726C39"/>
    <w:rsid w:val="0074653F"/>
    <w:rsid w:val="007847C0"/>
    <w:rsid w:val="007B14D9"/>
    <w:rsid w:val="00821464"/>
    <w:rsid w:val="008409D8"/>
    <w:rsid w:val="008457B0"/>
    <w:rsid w:val="008501A6"/>
    <w:rsid w:val="00856B90"/>
    <w:rsid w:val="00887A18"/>
    <w:rsid w:val="00895153"/>
    <w:rsid w:val="00A00B4B"/>
    <w:rsid w:val="00A82093"/>
    <w:rsid w:val="00AC2F3B"/>
    <w:rsid w:val="00AD4670"/>
    <w:rsid w:val="00BA0088"/>
    <w:rsid w:val="00BC22D2"/>
    <w:rsid w:val="00BF4EBE"/>
    <w:rsid w:val="00BF7FC3"/>
    <w:rsid w:val="00C17C49"/>
    <w:rsid w:val="00CE3201"/>
    <w:rsid w:val="00CF71CC"/>
    <w:rsid w:val="00D83423"/>
    <w:rsid w:val="00E36702"/>
    <w:rsid w:val="00E6258B"/>
    <w:rsid w:val="00E673E9"/>
    <w:rsid w:val="00EA5C3D"/>
    <w:rsid w:val="00EC63F8"/>
    <w:rsid w:val="00F37BEF"/>
    <w:rsid w:val="00F7641A"/>
    <w:rsid w:val="00F8339A"/>
    <w:rsid w:val="00FB2432"/>
    <w:rsid w:val="00FF1EF0"/>
    <w:rsid w:val="00FF2E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1EF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F1EF0"/>
  </w:style>
  <w:style w:type="paragraph" w:styleId="Footer">
    <w:name w:val="footer"/>
    <w:basedOn w:val="Normal"/>
    <w:link w:val="FooterChar"/>
    <w:uiPriority w:val="99"/>
    <w:semiHidden/>
    <w:unhideWhenUsed/>
    <w:rsid w:val="00FF1EF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F1EF0"/>
  </w:style>
  <w:style w:type="paragraph" w:styleId="BalloonText">
    <w:name w:val="Balloon Text"/>
    <w:basedOn w:val="Normal"/>
    <w:link w:val="BalloonTextChar"/>
    <w:uiPriority w:val="99"/>
    <w:semiHidden/>
    <w:unhideWhenUsed/>
    <w:rsid w:val="00C17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C49"/>
    <w:rPr>
      <w:rFonts w:ascii="Tahoma" w:hAnsi="Tahoma" w:cs="Tahoma"/>
      <w:sz w:val="16"/>
      <w:szCs w:val="16"/>
    </w:rPr>
  </w:style>
  <w:style w:type="paragraph" w:styleId="ListParagraph">
    <w:name w:val="List Paragraph"/>
    <w:basedOn w:val="Normal"/>
    <w:uiPriority w:val="34"/>
    <w:qFormat/>
    <w:rsid w:val="00374BDE"/>
    <w:pPr>
      <w:ind w:left="720"/>
      <w:contextualSpacing/>
    </w:pPr>
  </w:style>
  <w:style w:type="table" w:styleId="TableGrid">
    <w:name w:val="Table Grid"/>
    <w:basedOn w:val="TableNormal"/>
    <w:uiPriority w:val="59"/>
    <w:rsid w:val="00BA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text-justify">
    <w:name w:val="uk-text-justify"/>
    <w:basedOn w:val="Normal"/>
    <w:rsid w:val="00726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badge">
    <w:name w:val="uk-badge"/>
    <w:basedOn w:val="DefaultParagraphFont"/>
    <w:rsid w:val="00726C39"/>
  </w:style>
  <w:style w:type="character" w:styleId="Hyperlink">
    <w:name w:val="Hyperlink"/>
    <w:basedOn w:val="DefaultParagraphFont"/>
    <w:uiPriority w:val="99"/>
    <w:semiHidden/>
    <w:unhideWhenUsed/>
    <w:rsid w:val="00726C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1EF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F1EF0"/>
  </w:style>
  <w:style w:type="paragraph" w:styleId="Footer">
    <w:name w:val="footer"/>
    <w:basedOn w:val="Normal"/>
    <w:link w:val="FooterChar"/>
    <w:uiPriority w:val="99"/>
    <w:semiHidden/>
    <w:unhideWhenUsed/>
    <w:rsid w:val="00FF1EF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F1EF0"/>
  </w:style>
  <w:style w:type="paragraph" w:styleId="BalloonText">
    <w:name w:val="Balloon Text"/>
    <w:basedOn w:val="Normal"/>
    <w:link w:val="BalloonTextChar"/>
    <w:uiPriority w:val="99"/>
    <w:semiHidden/>
    <w:unhideWhenUsed/>
    <w:rsid w:val="00C17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C49"/>
    <w:rPr>
      <w:rFonts w:ascii="Tahoma" w:hAnsi="Tahoma" w:cs="Tahoma"/>
      <w:sz w:val="16"/>
      <w:szCs w:val="16"/>
    </w:rPr>
  </w:style>
  <w:style w:type="paragraph" w:styleId="ListParagraph">
    <w:name w:val="List Paragraph"/>
    <w:basedOn w:val="Normal"/>
    <w:uiPriority w:val="34"/>
    <w:qFormat/>
    <w:rsid w:val="00374BDE"/>
    <w:pPr>
      <w:ind w:left="720"/>
      <w:contextualSpacing/>
    </w:pPr>
  </w:style>
  <w:style w:type="table" w:styleId="TableGrid">
    <w:name w:val="Table Grid"/>
    <w:basedOn w:val="TableNormal"/>
    <w:uiPriority w:val="59"/>
    <w:rsid w:val="00BA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text-justify">
    <w:name w:val="uk-text-justify"/>
    <w:basedOn w:val="Normal"/>
    <w:rsid w:val="00726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badge">
    <w:name w:val="uk-badge"/>
    <w:basedOn w:val="DefaultParagraphFont"/>
    <w:rsid w:val="00726C39"/>
  </w:style>
  <w:style w:type="character" w:styleId="Hyperlink">
    <w:name w:val="Hyperlink"/>
    <w:basedOn w:val="DefaultParagraphFont"/>
    <w:uiPriority w:val="99"/>
    <w:semiHidden/>
    <w:unhideWhenUsed/>
    <w:rsid w:val="00726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6398">
      <w:bodyDiv w:val="1"/>
      <w:marLeft w:val="0"/>
      <w:marRight w:val="0"/>
      <w:marTop w:val="0"/>
      <w:marBottom w:val="0"/>
      <w:divBdr>
        <w:top w:val="none" w:sz="0" w:space="0" w:color="auto"/>
        <w:left w:val="none" w:sz="0" w:space="0" w:color="auto"/>
        <w:bottom w:val="none" w:sz="0" w:space="0" w:color="auto"/>
        <w:right w:val="none" w:sz="0" w:space="0" w:color="auto"/>
      </w:divBdr>
    </w:div>
    <w:div w:id="12349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09E7-E5DF-41F9-892A-28954AD3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691</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Anne-Marie</cp:lastModifiedBy>
  <cp:revision>6</cp:revision>
  <cp:lastPrinted>2019-04-11T16:19:00Z</cp:lastPrinted>
  <dcterms:created xsi:type="dcterms:W3CDTF">2019-06-05T12:23:00Z</dcterms:created>
  <dcterms:modified xsi:type="dcterms:W3CDTF">2019-06-07T10:58:00Z</dcterms:modified>
</cp:coreProperties>
</file>